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right"/>
        <w:rPr>
          <w:rFonts w:hint="eastAsia" w:ascii="仿宋_GB2312" w:hAnsi="仿宋_GB2312" w:eastAsia="仿宋_GB2312" w:cs="仿宋_GB2312"/>
          <w:w w:val="80"/>
          <w:sz w:val="24"/>
          <w:szCs w:val="24"/>
        </w:rPr>
      </w:pPr>
      <w:r>
        <w:rPr>
          <w:rFonts w:hint="eastAsia" w:ascii="仿宋_GB2312" w:hAnsi="仿宋_GB2312" w:eastAsia="仿宋_GB2312" w:cs="仿宋_GB2312"/>
          <w:b/>
          <w:sz w:val="24"/>
          <w:szCs w:val="24"/>
          <w:lang w:val="en-US" w:eastAsia="zh-CN"/>
        </w:rPr>
        <w:t>合同</w:t>
      </w:r>
      <w:r>
        <w:rPr>
          <w:rFonts w:hint="eastAsia" w:ascii="仿宋_GB2312" w:hAnsi="仿宋_GB2312" w:eastAsia="仿宋_GB2312" w:cs="仿宋_GB2312"/>
          <w:b/>
          <w:sz w:val="24"/>
          <w:szCs w:val="24"/>
        </w:rPr>
        <w:t>编号：</w:t>
      </w:r>
    </w:p>
    <w:p>
      <w:pPr>
        <w:jc w:val="center"/>
        <w:rPr>
          <w:rFonts w:ascii="宋体" w:hAnsi="宋体"/>
          <w:b/>
          <w:sz w:val="44"/>
        </w:rPr>
      </w:pPr>
    </w:p>
    <w:p>
      <w:pPr>
        <w:jc w:val="center"/>
        <w:rPr>
          <w:rFonts w:ascii="宋体" w:hAnsi="宋体"/>
          <w:b/>
          <w:sz w:val="44"/>
        </w:rPr>
      </w:pPr>
    </w:p>
    <w:p>
      <w:pPr>
        <w:jc w:val="center"/>
        <w:rPr>
          <w:rFonts w:ascii="宋体" w:hAnsi="宋体" w:eastAsia="宋体"/>
          <w:b/>
          <w:sz w:val="44"/>
        </w:rPr>
      </w:pPr>
      <w:r>
        <w:rPr>
          <w:rFonts w:hint="eastAsia" w:ascii="宋体" w:hAnsi="宋体" w:eastAsia="宋体"/>
          <w:b/>
          <w:sz w:val="44"/>
        </w:rPr>
        <w:drawing>
          <wp:inline distT="0" distB="0" distL="114300" distR="114300">
            <wp:extent cx="5062855" cy="950595"/>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rcRect l="21262" t="5313"/>
                    <a:stretch>
                      <a:fillRect/>
                    </a:stretch>
                  </pic:blipFill>
                  <pic:spPr>
                    <a:xfrm>
                      <a:off x="0" y="0"/>
                      <a:ext cx="5062855" cy="950595"/>
                    </a:xfrm>
                    <a:prstGeom prst="rect">
                      <a:avLst/>
                    </a:prstGeom>
                    <a:noFill/>
                    <a:ln>
                      <a:noFill/>
                    </a:ln>
                  </pic:spPr>
                </pic:pic>
              </a:graphicData>
            </a:graphic>
          </wp:inline>
        </w:drawing>
      </w:r>
    </w:p>
    <w:p>
      <w:pPr>
        <w:jc w:val="center"/>
        <w:rPr>
          <w:rFonts w:ascii="黑体" w:hAnsi="宋体" w:eastAsia="黑体"/>
          <w:b/>
          <w:sz w:val="48"/>
          <w:szCs w:val="48"/>
        </w:rPr>
      </w:pPr>
    </w:p>
    <w:p>
      <w:pPr>
        <w:jc w:val="center"/>
        <w:rPr>
          <w:rFonts w:ascii="黑体" w:hAnsi="宋体" w:eastAsia="黑体"/>
          <w:b/>
          <w:sz w:val="48"/>
          <w:szCs w:val="48"/>
        </w:rPr>
      </w:pPr>
    </w:p>
    <w:p>
      <w:pPr>
        <w:jc w:val="center"/>
        <w:rPr>
          <w:rFonts w:ascii="黑体" w:hAnsi="宋体" w:eastAsia="黑体"/>
          <w:b/>
          <w:sz w:val="48"/>
          <w:szCs w:val="48"/>
        </w:rPr>
      </w:pPr>
    </w:p>
    <w:p>
      <w:pPr>
        <w:jc w:val="center"/>
        <w:rPr>
          <w:rFonts w:ascii="黑体" w:hAnsi="宋体" w:eastAsia="黑体"/>
          <w:b/>
          <w:sz w:val="48"/>
          <w:szCs w:val="48"/>
        </w:rPr>
      </w:pPr>
      <w:r>
        <w:rPr>
          <w:rFonts w:hint="eastAsia" w:ascii="黑体" w:hAnsi="宋体" w:eastAsia="黑体"/>
          <w:b/>
          <w:sz w:val="48"/>
          <w:szCs w:val="48"/>
          <w:lang w:val="en-US" w:eastAsia="zh-CN"/>
        </w:rPr>
        <w:t>钢材</w:t>
      </w:r>
      <w:r>
        <w:rPr>
          <w:rFonts w:hint="eastAsia" w:ascii="黑体" w:hAnsi="宋体" w:eastAsia="黑体"/>
          <w:b/>
          <w:sz w:val="48"/>
          <w:szCs w:val="48"/>
        </w:rPr>
        <w:t>采购合同</w:t>
      </w:r>
    </w:p>
    <w:p>
      <w:pPr>
        <w:jc w:val="both"/>
        <w:rPr>
          <w:rFonts w:ascii="宋体" w:hAnsi="宋体"/>
          <w:b/>
          <w:sz w:val="44"/>
        </w:rPr>
      </w:pPr>
    </w:p>
    <w:p>
      <w:pPr>
        <w:spacing w:line="420" w:lineRule="exact"/>
        <w:jc w:val="center"/>
        <w:rPr>
          <w:sz w:val="32"/>
          <w:szCs w:val="32"/>
        </w:rPr>
      </w:pPr>
    </w:p>
    <w:p>
      <w:pPr>
        <w:spacing w:line="420" w:lineRule="exact"/>
        <w:jc w:val="center"/>
        <w:rPr>
          <w:sz w:val="32"/>
          <w:szCs w:val="32"/>
        </w:rPr>
      </w:pPr>
    </w:p>
    <w:p>
      <w:pPr>
        <w:spacing w:line="420" w:lineRule="exact"/>
        <w:jc w:val="center"/>
        <w:rPr>
          <w:sz w:val="32"/>
          <w:szCs w:val="32"/>
        </w:rPr>
      </w:pPr>
    </w:p>
    <w:p>
      <w:pPr>
        <w:spacing w:line="420" w:lineRule="exact"/>
        <w:jc w:val="both"/>
        <w:rPr>
          <w:sz w:val="32"/>
          <w:szCs w:val="32"/>
        </w:rPr>
      </w:pPr>
    </w:p>
    <w:p>
      <w:pPr>
        <w:spacing w:line="420" w:lineRule="exact"/>
        <w:jc w:val="both"/>
        <w:rPr>
          <w:sz w:val="32"/>
          <w:szCs w:val="32"/>
        </w:rPr>
      </w:pPr>
    </w:p>
    <w:p>
      <w:pPr>
        <w:spacing w:line="460" w:lineRule="exact"/>
        <w:ind w:firstLine="640" w:firstLineChars="200"/>
        <w:rPr>
          <w:sz w:val="32"/>
          <w:szCs w:val="32"/>
        </w:rPr>
      </w:pPr>
    </w:p>
    <w:p>
      <w:pPr>
        <w:widowControl w:val="0"/>
        <w:spacing w:line="400" w:lineRule="exact"/>
        <w:rPr>
          <w:rFonts w:hint="eastAsia" w:ascii="Times New Roman" w:hAnsi="Times New Roman" w:eastAsia="宋体" w:cs="Times New Roman"/>
          <w:sz w:val="32"/>
          <w:szCs w:val="32"/>
          <w:u w:val="single"/>
        </w:rPr>
      </w:pPr>
      <w:r>
        <w:rPr>
          <w:rFonts w:hint="eastAsia"/>
          <w:sz w:val="32"/>
          <w:szCs w:val="32"/>
        </w:rPr>
        <w:t>项</w:t>
      </w:r>
      <w:r>
        <w:rPr>
          <w:rFonts w:hint="eastAsia"/>
          <w:sz w:val="32"/>
          <w:szCs w:val="32"/>
          <w:lang w:val="en-US" w:eastAsia="zh-CN"/>
        </w:rPr>
        <w:t xml:space="preserve">   </w:t>
      </w:r>
      <w:r>
        <w:rPr>
          <w:rFonts w:hint="eastAsia"/>
          <w:sz w:val="32"/>
          <w:szCs w:val="32"/>
        </w:rPr>
        <w:t>目</w:t>
      </w:r>
      <w:r>
        <w:rPr>
          <w:rFonts w:hint="eastAsia"/>
          <w:sz w:val="32"/>
          <w:szCs w:val="32"/>
          <w:lang w:val="en-US" w:eastAsia="zh-CN"/>
        </w:rPr>
        <w:t xml:space="preserve">   </w:t>
      </w:r>
      <w:r>
        <w:rPr>
          <w:rFonts w:hint="eastAsia"/>
          <w:sz w:val="32"/>
          <w:szCs w:val="32"/>
        </w:rPr>
        <w:t>名</w:t>
      </w:r>
      <w:r>
        <w:rPr>
          <w:rFonts w:hint="eastAsia"/>
          <w:sz w:val="32"/>
          <w:szCs w:val="32"/>
          <w:lang w:val="en-US" w:eastAsia="zh-CN"/>
        </w:rPr>
        <w:t xml:space="preserve">   </w:t>
      </w:r>
      <w:r>
        <w:rPr>
          <w:rFonts w:hint="eastAsia"/>
          <w:sz w:val="32"/>
          <w:szCs w:val="32"/>
        </w:rPr>
        <w:t>称：</w:t>
      </w:r>
      <w:r>
        <w:rPr>
          <w:rFonts w:hint="eastAsia" w:ascii="Times New Roman" w:hAnsi="Times New Roman" w:eastAsia="宋体" w:cs="Times New Roman"/>
          <w:sz w:val="32"/>
          <w:szCs w:val="32"/>
          <w:u w:val="single"/>
        </w:rPr>
        <w:t>S103 济枣线山亭区凫城至市中区曾店段改建工程项目</w:t>
      </w:r>
    </w:p>
    <w:p>
      <w:pPr>
        <w:spacing w:line="460" w:lineRule="exact"/>
        <w:rPr>
          <w:sz w:val="32"/>
          <w:szCs w:val="32"/>
        </w:rPr>
      </w:pPr>
    </w:p>
    <w:p>
      <w:pPr>
        <w:spacing w:line="400" w:lineRule="exact"/>
        <w:rPr>
          <w:sz w:val="32"/>
          <w:szCs w:val="32"/>
          <w:u w:val="single"/>
        </w:rPr>
      </w:pPr>
      <w:r>
        <w:rPr>
          <w:rFonts w:hint="eastAsia"/>
          <w:sz w:val="32"/>
          <w:szCs w:val="32"/>
          <w:lang w:val="en-US" w:eastAsia="zh-CN"/>
        </w:rPr>
        <w:t>需方</w:t>
      </w:r>
      <w:r>
        <w:rPr>
          <w:rFonts w:hint="eastAsia"/>
          <w:sz w:val="32"/>
          <w:szCs w:val="32"/>
        </w:rPr>
        <w:t>（</w:t>
      </w:r>
      <w:r>
        <w:rPr>
          <w:rFonts w:hint="eastAsia"/>
          <w:sz w:val="32"/>
          <w:szCs w:val="32"/>
          <w:lang w:val="en-US" w:eastAsia="zh-CN"/>
        </w:rPr>
        <w:t>以下称甲方</w:t>
      </w:r>
      <w:r>
        <w:rPr>
          <w:rFonts w:hint="eastAsia"/>
          <w:sz w:val="32"/>
          <w:szCs w:val="32"/>
        </w:rPr>
        <w:t>）：</w:t>
      </w:r>
      <w:r>
        <w:rPr>
          <w:rFonts w:hint="eastAsia"/>
          <w:sz w:val="32"/>
          <w:szCs w:val="32"/>
          <w:u w:val="single"/>
        </w:rPr>
        <w:t xml:space="preserve">中国地质工程集团有限公司 </w:t>
      </w:r>
    </w:p>
    <w:p>
      <w:pPr>
        <w:spacing w:line="400" w:lineRule="exact"/>
        <w:rPr>
          <w:sz w:val="32"/>
          <w:szCs w:val="32"/>
          <w:u w:val="single"/>
        </w:rPr>
      </w:pPr>
    </w:p>
    <w:p>
      <w:pPr>
        <w:spacing w:line="400" w:lineRule="exact"/>
        <w:rPr>
          <w:rFonts w:hint="default" w:ascii="宋体" w:hAnsi="宋体" w:eastAsia="宋体"/>
          <w:b/>
          <w:sz w:val="44"/>
          <w:lang w:val="en-US" w:eastAsia="zh-CN"/>
        </w:rPr>
      </w:pPr>
      <w:r>
        <w:rPr>
          <w:rFonts w:hint="eastAsia" w:eastAsia="宋体"/>
          <w:sz w:val="32"/>
          <w:szCs w:val="32"/>
        </w:rPr>
        <w:t>供</w:t>
      </w:r>
      <w:r>
        <w:rPr>
          <w:rFonts w:hint="eastAsia" w:eastAsia="宋体"/>
          <w:sz w:val="32"/>
          <w:szCs w:val="32"/>
          <w:lang w:val="en-US" w:eastAsia="zh-CN"/>
        </w:rPr>
        <w:t>方</w:t>
      </w:r>
      <w:r>
        <w:rPr>
          <w:rFonts w:hint="eastAsia"/>
          <w:sz w:val="32"/>
          <w:szCs w:val="32"/>
        </w:rPr>
        <w:t>（</w:t>
      </w:r>
      <w:r>
        <w:rPr>
          <w:rFonts w:hint="eastAsia"/>
          <w:sz w:val="32"/>
          <w:szCs w:val="32"/>
          <w:lang w:val="en-US" w:eastAsia="zh-CN"/>
        </w:rPr>
        <w:t>以下称乙方</w:t>
      </w:r>
      <w:r>
        <w:rPr>
          <w:rFonts w:hint="eastAsia"/>
          <w:sz w:val="32"/>
          <w:szCs w:val="32"/>
        </w:rPr>
        <w:t>）：</w:t>
      </w:r>
      <w:r>
        <w:rPr>
          <w:rFonts w:hint="eastAsia" w:eastAsia="宋体"/>
          <w:sz w:val="32"/>
          <w:szCs w:val="32"/>
          <w:u w:val="single"/>
          <w:lang w:val="en-US" w:eastAsia="zh-CN"/>
        </w:rPr>
        <w:t xml:space="preserve">                         </w:t>
      </w:r>
    </w:p>
    <w:p>
      <w:pPr>
        <w:rPr>
          <w:rFonts w:ascii="宋体" w:hAnsi="宋体"/>
          <w:b/>
          <w:sz w:val="44"/>
        </w:rPr>
      </w:pPr>
    </w:p>
    <w:p>
      <w:pPr>
        <w:ind w:left="3534" w:hanging="3534" w:hangingChars="800"/>
        <w:rPr>
          <w:rFonts w:ascii="宋体" w:hAnsi="宋体" w:eastAsia="宋体"/>
          <w:b/>
          <w:sz w:val="40"/>
          <w:szCs w:val="18"/>
        </w:rPr>
      </w:pPr>
      <w:r>
        <w:rPr>
          <w:rFonts w:hint="eastAsia" w:ascii="宋体" w:hAnsi="宋体"/>
          <w:b/>
          <w:sz w:val="44"/>
        </w:rPr>
        <w:t xml:space="preserve">             </w:t>
      </w:r>
      <w:r>
        <w:rPr>
          <w:rFonts w:hint="eastAsia" w:ascii="宋体" w:hAnsi="宋体"/>
          <w:b/>
          <w:sz w:val="40"/>
          <w:szCs w:val="18"/>
        </w:rPr>
        <w:t xml:space="preserve"> </w:t>
      </w:r>
      <w:r>
        <w:rPr>
          <w:rFonts w:hint="eastAsia" w:ascii="宋体" w:hAnsi="宋体" w:eastAsia="宋体"/>
          <w:b/>
          <w:sz w:val="40"/>
          <w:szCs w:val="18"/>
        </w:rPr>
        <w:t xml:space="preserve">                          </w:t>
      </w:r>
      <w:r>
        <w:rPr>
          <w:rFonts w:hint="eastAsia" w:ascii="宋体" w:hAnsi="宋体"/>
          <w:b/>
          <w:sz w:val="40"/>
          <w:szCs w:val="18"/>
        </w:rPr>
        <w:t>20</w:t>
      </w:r>
      <w:r>
        <w:rPr>
          <w:rFonts w:hint="eastAsia" w:ascii="宋体" w:hAnsi="宋体" w:eastAsia="宋体"/>
          <w:b/>
          <w:sz w:val="40"/>
          <w:szCs w:val="18"/>
        </w:rPr>
        <w:t>2</w:t>
      </w:r>
      <w:r>
        <w:rPr>
          <w:rFonts w:hint="eastAsia" w:ascii="宋体" w:hAnsi="宋体" w:eastAsia="宋体"/>
          <w:b/>
          <w:sz w:val="40"/>
          <w:szCs w:val="18"/>
          <w:lang w:val="en-US" w:eastAsia="zh-CN"/>
        </w:rPr>
        <w:t>1</w:t>
      </w:r>
      <w:r>
        <w:rPr>
          <w:rFonts w:hint="eastAsia" w:ascii="宋体" w:hAnsi="宋体"/>
          <w:b/>
          <w:sz w:val="40"/>
          <w:szCs w:val="18"/>
        </w:rPr>
        <w:t>年</w:t>
      </w:r>
      <w:r>
        <w:rPr>
          <w:rFonts w:hint="eastAsia" w:ascii="宋体" w:hAnsi="宋体" w:eastAsia="宋体"/>
          <w:b/>
          <w:sz w:val="40"/>
          <w:szCs w:val="18"/>
          <w:lang w:val="en-US" w:eastAsia="zh-CN"/>
        </w:rPr>
        <w:t xml:space="preserve"> </w:t>
      </w:r>
      <w:r>
        <w:rPr>
          <w:rFonts w:hint="eastAsia" w:ascii="宋体" w:hAnsi="宋体"/>
          <w:b/>
          <w:sz w:val="40"/>
          <w:szCs w:val="18"/>
        </w:rPr>
        <w:t>月</w:t>
      </w:r>
    </w:p>
    <w:p>
      <w:pPr>
        <w:pStyle w:val="7"/>
        <w:shd w:val="clear" w:color="auto" w:fill="FFFFFF"/>
        <w:spacing w:line="360" w:lineRule="auto"/>
        <w:jc w:val="center"/>
        <w:rPr>
          <w:rFonts w:ascii="仿宋_GB2312" w:eastAsia="仿宋_GB2312"/>
          <w:color w:val="auto"/>
          <w:sz w:val="11"/>
          <w:szCs w:val="11"/>
        </w:rPr>
      </w:pPr>
      <w:r>
        <w:rPr>
          <w:rFonts w:ascii="仿宋_GB2312" w:hAnsi="宋体" w:eastAsia="仿宋_GB2312"/>
          <w:sz w:val="32"/>
          <w:szCs w:val="32"/>
        </w:rPr>
        <w:br w:type="page"/>
      </w:r>
    </w:p>
    <w:p>
      <w:pPr>
        <w:pStyle w:val="7"/>
        <w:spacing w:line="360" w:lineRule="auto"/>
        <w:jc w:val="center"/>
        <w:rPr>
          <w:rFonts w:ascii="方正小标宋简体" w:eastAsia="方正小标宋简体"/>
          <w:b/>
          <w:color w:val="auto"/>
          <w:sz w:val="44"/>
          <w:szCs w:val="44"/>
        </w:rPr>
      </w:pPr>
      <w:r>
        <w:rPr>
          <w:rFonts w:hint="eastAsia" w:ascii="方正小标宋简体" w:eastAsia="方正小标宋简体"/>
          <w:b/>
          <w:color w:val="auto"/>
          <w:sz w:val="44"/>
          <w:szCs w:val="44"/>
          <w:lang w:val="en-US" w:eastAsia="zh-CN"/>
        </w:rPr>
        <w:t>钢材</w:t>
      </w:r>
      <w:r>
        <w:rPr>
          <w:rFonts w:hint="eastAsia" w:ascii="方正小标宋简体" w:eastAsia="方正小标宋简体"/>
          <w:b/>
          <w:color w:val="auto"/>
          <w:sz w:val="44"/>
          <w:szCs w:val="44"/>
        </w:rPr>
        <w:t>采购合同</w:t>
      </w:r>
    </w:p>
    <w:p>
      <w:pPr>
        <w:pStyle w:val="7"/>
        <w:keepNext w:val="0"/>
        <w:keepLines w:val="0"/>
        <w:pageBreakBefore w:val="0"/>
        <w:kinsoku/>
        <w:wordWrap/>
        <w:overflowPunct/>
        <w:topLinePunct w:val="0"/>
        <w:bidi w:val="0"/>
        <w:spacing w:before="0" w:beforeAutospacing="0" w:after="0" w:afterAutospacing="0"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甲方：</w:t>
      </w:r>
      <w:r>
        <w:rPr>
          <w:rFonts w:hint="eastAsia" w:ascii="仿宋_GB2312" w:hAnsi="仿宋_GB2312" w:eastAsia="仿宋_GB2312" w:cs="仿宋_GB2312"/>
          <w:b/>
          <w:color w:val="auto"/>
          <w:sz w:val="21"/>
          <w:szCs w:val="21"/>
          <w:lang w:val="en-US" w:eastAsia="zh-CN"/>
        </w:rPr>
        <w:t>中国地质工程集团</w:t>
      </w:r>
      <w:r>
        <w:rPr>
          <w:rFonts w:hint="eastAsia" w:ascii="仿宋_GB2312" w:hAnsi="仿宋_GB2312" w:eastAsia="仿宋_GB2312" w:cs="仿宋_GB2312"/>
          <w:b/>
          <w:color w:val="auto"/>
          <w:sz w:val="21"/>
          <w:szCs w:val="21"/>
        </w:rPr>
        <w:t>有限公司</w:t>
      </w:r>
    </w:p>
    <w:p>
      <w:pPr>
        <w:pStyle w:val="7"/>
        <w:keepNext w:val="0"/>
        <w:keepLines w:val="0"/>
        <w:pageBreakBefore w:val="0"/>
        <w:kinsoku/>
        <w:wordWrap/>
        <w:overflowPunct/>
        <w:topLinePunct w:val="0"/>
        <w:bidi w:val="0"/>
        <w:spacing w:before="0" w:beforeAutospacing="0" w:after="0" w:afterAutospacing="0"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法定代表人：</w:t>
      </w:r>
      <w:r>
        <w:rPr>
          <w:rFonts w:hint="eastAsia" w:ascii="仿宋_GB2312" w:hAnsi="仿宋_GB2312" w:eastAsia="仿宋_GB2312" w:cs="仿宋_GB2312"/>
          <w:color w:val="auto"/>
          <w:sz w:val="21"/>
          <w:szCs w:val="21"/>
          <w:lang w:val="en-US" w:eastAsia="zh-CN"/>
        </w:rPr>
        <w:t>孙锦红</w:t>
      </w:r>
      <w:r>
        <w:rPr>
          <w:rFonts w:hint="eastAsia" w:ascii="仿宋_GB2312" w:hAnsi="仿宋_GB2312" w:eastAsia="仿宋_GB2312" w:cs="仿宋_GB2312"/>
          <w:color w:val="auto"/>
          <w:sz w:val="21"/>
          <w:szCs w:val="21"/>
        </w:rPr>
        <w:t xml:space="preserve"> </w:t>
      </w:r>
    </w:p>
    <w:p>
      <w:pPr>
        <w:pStyle w:val="7"/>
        <w:keepNext w:val="0"/>
        <w:keepLines w:val="0"/>
        <w:pageBreakBefore w:val="0"/>
        <w:kinsoku/>
        <w:wordWrap/>
        <w:overflowPunct/>
        <w:topLinePunct w:val="0"/>
        <w:bidi w:val="0"/>
        <w:spacing w:before="0" w:beforeAutospacing="0" w:after="0" w:afterAutospacing="0"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地址: </w:t>
      </w:r>
      <w:r>
        <w:rPr>
          <w:rFonts w:hint="eastAsia" w:ascii="仿宋_GB2312" w:hAnsi="仿宋_GB2312" w:eastAsia="仿宋_GB2312" w:cs="仿宋_GB2312"/>
          <w:color w:val="auto"/>
          <w:sz w:val="21"/>
          <w:szCs w:val="21"/>
          <w:lang w:val="en-US" w:eastAsia="zh-CN"/>
        </w:rPr>
        <w:t>北京市海淀区香山南路92号院2号楼</w:t>
      </w:r>
      <w:r>
        <w:rPr>
          <w:rFonts w:hint="eastAsia" w:ascii="仿宋_GB2312" w:hAnsi="仿宋_GB2312" w:eastAsia="仿宋_GB2312" w:cs="仿宋_GB2312"/>
          <w:color w:val="auto"/>
          <w:sz w:val="21"/>
          <w:szCs w:val="21"/>
        </w:rPr>
        <w:t xml:space="preserve"> </w:t>
      </w:r>
    </w:p>
    <w:p>
      <w:pPr>
        <w:pStyle w:val="7"/>
        <w:keepNext w:val="0"/>
        <w:keepLines w:val="0"/>
        <w:pageBreakBefore w:val="0"/>
        <w:kinsoku/>
        <w:wordWrap/>
        <w:overflowPunct/>
        <w:topLinePunct w:val="0"/>
        <w:bidi w:val="0"/>
        <w:spacing w:before="0" w:beforeAutospacing="0" w:after="0" w:afterAutospacing="0" w:line="5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邮编：</w:t>
      </w:r>
      <w:r>
        <w:rPr>
          <w:rFonts w:hint="eastAsia" w:ascii="仿宋_GB2312" w:hAnsi="仿宋_GB2312" w:eastAsia="仿宋_GB2312" w:cs="仿宋_GB2312"/>
          <w:color w:val="auto"/>
          <w:sz w:val="21"/>
          <w:szCs w:val="21"/>
          <w:lang w:val="en-US" w:eastAsia="zh-CN"/>
        </w:rPr>
        <w:t>100093</w:t>
      </w:r>
    </w:p>
    <w:p>
      <w:pPr>
        <w:keepNext w:val="0"/>
        <w:keepLines w:val="0"/>
        <w:pageBreakBefore w:val="0"/>
        <w:kinsoku/>
        <w:wordWrap/>
        <w:overflowPunct/>
        <w:topLinePunct w:val="0"/>
        <w:bidi w:val="0"/>
        <w:snapToGrid/>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电话</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lang w:val="zh-TW" w:eastAsia="zh-TW"/>
        </w:rPr>
        <w:t>10-82408536</w:t>
      </w: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乙方：</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法定代表人：</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 xml:space="preserve">地址: </w:t>
      </w:r>
      <w:r>
        <w:rPr>
          <w:rFonts w:hint="eastAsia" w:ascii="仿宋_GB2312" w:hAnsi="仿宋_GB2312" w:eastAsia="仿宋_GB2312" w:cs="仿宋_GB2312"/>
          <w:b w:val="0"/>
          <w:bCs w:val="0"/>
          <w:color w:val="auto"/>
          <w:sz w:val="21"/>
          <w:szCs w:val="21"/>
          <w:lang w:val="en-US" w:eastAsia="zh-CN"/>
        </w:rPr>
        <w:t xml:space="preserve">                       </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邮编：</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电话</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 xml:space="preserve">                       </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i/>
          <w:color w:val="auto"/>
          <w:sz w:val="21"/>
          <w:szCs w:val="21"/>
        </w:rPr>
      </w:pPr>
      <w:r>
        <w:rPr>
          <w:rFonts w:hint="eastAsia" w:ascii="仿宋_GB2312" w:hAnsi="仿宋_GB2312" w:eastAsia="仿宋_GB2312" w:cs="仿宋_GB2312"/>
          <w:b w:val="0"/>
          <w:bCs w:val="0"/>
          <w:color w:val="auto"/>
          <w:sz w:val="21"/>
          <w:szCs w:val="21"/>
        </w:rPr>
        <w:t>依据《中华人民共和国</w:t>
      </w:r>
      <w:r>
        <w:rPr>
          <w:rFonts w:hint="eastAsia" w:ascii="仿宋_GB2312" w:hAnsi="仿宋_GB2312" w:eastAsia="仿宋_GB2312" w:cs="仿宋_GB2312"/>
          <w:b w:val="0"/>
          <w:bCs w:val="0"/>
          <w:color w:val="auto"/>
          <w:sz w:val="21"/>
          <w:szCs w:val="21"/>
          <w:lang w:val="en-US" w:eastAsia="zh-CN"/>
        </w:rPr>
        <w:t>民法典</w:t>
      </w:r>
      <w:r>
        <w:rPr>
          <w:rFonts w:hint="eastAsia" w:ascii="仿宋_GB2312" w:hAnsi="仿宋_GB2312" w:eastAsia="仿宋_GB2312" w:cs="仿宋_GB2312"/>
          <w:b w:val="0"/>
          <w:bCs w:val="0"/>
          <w:color w:val="auto"/>
          <w:sz w:val="21"/>
          <w:szCs w:val="21"/>
        </w:rPr>
        <w:t>》《中华人民共和国建筑法》《建筑工程质量管理条例》</w:t>
      </w:r>
      <w:r>
        <w:rPr>
          <w:rFonts w:hint="eastAsia" w:ascii="仿宋_GB2312" w:hAnsi="仿宋_GB2312" w:eastAsia="仿宋_GB2312" w:cs="仿宋_GB2312"/>
          <w:b w:val="0"/>
          <w:bCs w:val="0"/>
          <w:color w:val="auto"/>
          <w:sz w:val="21"/>
          <w:szCs w:val="21"/>
          <w:lang w:val="en-US" w:eastAsia="zh-CN"/>
        </w:rPr>
        <w:t>/</w:t>
      </w:r>
      <w:r>
        <w:rPr>
          <w:rFonts w:hint="eastAsia" w:ascii="仿宋_GB2312" w:hAnsi="仿宋_GB2312" w:eastAsia="仿宋_GB2312" w:cs="仿宋_GB2312"/>
          <w:b w:val="0"/>
          <w:bCs w:val="0"/>
          <w:color w:val="auto"/>
          <w:sz w:val="21"/>
          <w:szCs w:val="21"/>
          <w:u w:val="single"/>
          <w:lang w:val="en-US" w:eastAsia="zh-CN"/>
        </w:rPr>
        <w:t xml:space="preserve">           </w:t>
      </w:r>
      <w:r>
        <w:rPr>
          <w:rFonts w:hint="eastAsia" w:ascii="仿宋_GB2312" w:hAnsi="仿宋_GB2312" w:eastAsia="仿宋_GB2312" w:cs="仿宋_GB2312"/>
          <w:b w:val="0"/>
          <w:bCs w:val="0"/>
          <w:color w:val="auto"/>
          <w:sz w:val="21"/>
          <w:szCs w:val="21"/>
        </w:rPr>
        <w:t>等相关法律法规的规定，在自愿、平等、公平、诚实信用原则的基础上，经协商一致，甲方同意</w:t>
      </w:r>
      <w:r>
        <w:rPr>
          <w:rFonts w:hint="eastAsia" w:ascii="仿宋_GB2312" w:hAnsi="仿宋_GB2312" w:eastAsia="仿宋_GB2312" w:cs="仿宋_GB2312"/>
          <w:b w:val="0"/>
          <w:bCs w:val="0"/>
          <w:color w:val="auto"/>
          <w:sz w:val="21"/>
          <w:szCs w:val="21"/>
          <w:lang w:val="en-US" w:eastAsia="zh-CN"/>
        </w:rPr>
        <w:t xml:space="preserve">  </w:t>
      </w:r>
      <w:r>
        <w:rPr>
          <w:rFonts w:hint="eastAsia" w:ascii="仿宋_GB2312" w:hAnsi="仿宋_GB2312" w:eastAsia="仿宋_GB2312" w:cs="仿宋_GB2312"/>
          <w:b w:val="0"/>
          <w:bCs w:val="0"/>
          <w:color w:val="auto"/>
          <w:sz w:val="21"/>
          <w:szCs w:val="21"/>
          <w:u w:val="single"/>
        </w:rPr>
        <w:t>S103 济枣线山亭区凫城至市中区曾店段改建工程</w:t>
      </w:r>
      <w:r>
        <w:rPr>
          <w:rFonts w:hint="eastAsia" w:ascii="仿宋_GB2312" w:hAnsi="仿宋_GB2312" w:eastAsia="仿宋_GB2312" w:cs="仿宋_GB2312"/>
          <w:b w:val="0"/>
          <w:bCs w:val="0"/>
          <w:color w:val="auto"/>
          <w:sz w:val="21"/>
          <w:szCs w:val="21"/>
          <w:lang w:val="en-US" w:eastAsia="zh-CN"/>
        </w:rPr>
        <w:t>项目所需钢材</w:t>
      </w:r>
      <w:r>
        <w:rPr>
          <w:rFonts w:hint="eastAsia" w:ascii="仿宋_GB2312" w:hAnsi="仿宋_GB2312" w:eastAsia="仿宋_GB2312" w:cs="仿宋_GB2312"/>
          <w:b w:val="0"/>
          <w:bCs w:val="0"/>
          <w:color w:val="auto"/>
          <w:sz w:val="21"/>
          <w:szCs w:val="21"/>
        </w:rPr>
        <w:t>由乙方供应，为明确甲乙双方的</w:t>
      </w:r>
      <w:r>
        <w:rPr>
          <w:rFonts w:hint="eastAsia" w:ascii="仿宋_GB2312" w:hAnsi="仿宋_GB2312" w:eastAsia="仿宋_GB2312" w:cs="仿宋_GB2312"/>
          <w:b w:val="0"/>
          <w:bCs w:val="0"/>
          <w:color w:val="auto"/>
          <w:sz w:val="21"/>
          <w:szCs w:val="21"/>
          <w:lang w:eastAsia="zh-CN"/>
        </w:rPr>
        <w:t>权利</w:t>
      </w:r>
      <w:r>
        <w:rPr>
          <w:rFonts w:hint="eastAsia" w:ascii="仿宋_GB2312" w:hAnsi="仿宋_GB2312" w:eastAsia="仿宋_GB2312" w:cs="仿宋_GB2312"/>
          <w:b w:val="0"/>
          <w:bCs w:val="0"/>
          <w:color w:val="auto"/>
          <w:sz w:val="21"/>
          <w:szCs w:val="21"/>
        </w:rPr>
        <w:t>与义务，特订立本合同。</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第一条　名称、品种、规格和质量</w:t>
      </w:r>
    </w:p>
    <w:p>
      <w:pPr>
        <w:keepNext w:val="0"/>
        <w:keepLines w:val="0"/>
        <w:pageBreakBefore w:val="0"/>
        <w:kinsoku/>
        <w:wordWrap/>
        <w:overflowPunct/>
        <w:topLinePunct w:val="0"/>
        <w:bidi w:val="0"/>
        <w:spacing w:line="520" w:lineRule="exact"/>
        <w:ind w:firstLine="420" w:firstLineChars="200"/>
        <w:textAlignment w:val="auto"/>
        <w:rPr>
          <w:rFonts w:hint="default" w:eastAsia="仿宋_GB2312" w:cs="Times New Roman"/>
          <w:color w:val="auto"/>
          <w:kern w:val="2"/>
          <w:sz w:val="21"/>
          <w:szCs w:val="21"/>
          <w:highlight w:val="none"/>
          <w:u w:val="single"/>
          <w:lang w:val="en-US" w:eastAsia="zh-CN"/>
        </w:rPr>
      </w:pPr>
      <w:r>
        <w:rPr>
          <w:rFonts w:hint="eastAsia" w:ascii="仿宋_GB2312" w:hAnsi="仿宋_GB2312" w:eastAsia="仿宋_GB2312" w:cs="仿宋_GB2312"/>
          <w:color w:val="auto"/>
          <w:sz w:val="21"/>
          <w:szCs w:val="21"/>
        </w:rPr>
        <w:t>1.名称：</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u w:val="single"/>
          <w:lang w:val="en-US" w:eastAsia="zh-CN"/>
        </w:rPr>
        <w:t>钢材、钢板、钢管、工字钢</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2.品种：</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single"/>
        </w:rPr>
        <w:t> </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3.规格：</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u w:val="single"/>
          <w:lang w:val="en-US" w:eastAsia="zh-CN"/>
        </w:rPr>
        <w:t>见</w:t>
      </w:r>
      <w:r>
        <w:rPr>
          <w:rFonts w:hint="eastAsia" w:ascii="仿宋_GB2312" w:hAnsi="仿宋_GB2312" w:eastAsia="仿宋_GB2312" w:cs="仿宋_GB2312"/>
          <w:color w:val="auto"/>
          <w:sz w:val="21"/>
          <w:szCs w:val="21"/>
          <w:u w:val="single"/>
          <w:lang w:eastAsia="zh-CN"/>
        </w:rPr>
        <w:t>采购</w:t>
      </w:r>
      <w:r>
        <w:rPr>
          <w:rFonts w:hint="eastAsia" w:ascii="仿宋_GB2312" w:hAnsi="仿宋_GB2312" w:eastAsia="仿宋_GB2312" w:cs="仿宋_GB2312"/>
          <w:color w:val="auto"/>
          <w:sz w:val="21"/>
          <w:szCs w:val="21"/>
          <w:u w:val="single"/>
          <w:lang w:val="en-US" w:eastAsia="zh-CN"/>
        </w:rPr>
        <w:t>物资明细表</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4.质量：按下列第</w:t>
      </w:r>
      <w:r>
        <w:rPr>
          <w:rFonts w:hint="eastAsia" w:ascii="仿宋_GB2312" w:hAnsi="仿宋_GB2312" w:eastAsia="仿宋_GB2312" w:cs="仿宋_GB2312"/>
          <w:color w:val="auto"/>
          <w:sz w:val="21"/>
          <w:szCs w:val="21"/>
          <w:u w:val="single"/>
        </w:rPr>
        <w:t>      1    </w:t>
      </w:r>
      <w:r>
        <w:rPr>
          <w:rFonts w:hint="eastAsia" w:ascii="仿宋_GB2312" w:hAnsi="仿宋_GB2312" w:eastAsia="仿宋_GB2312" w:cs="仿宋_GB2312"/>
          <w:color w:val="auto"/>
          <w:sz w:val="21"/>
          <w:szCs w:val="21"/>
        </w:rPr>
        <w:t>项执行：</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⑴按照</w:t>
      </w:r>
      <w:r>
        <w:rPr>
          <w:rFonts w:hint="eastAsia" w:ascii="仿宋_GB2312" w:hAnsi="仿宋_GB2312" w:eastAsia="仿宋_GB2312" w:cs="仿宋_GB2312"/>
          <w:color w:val="auto"/>
          <w:sz w:val="21"/>
          <w:szCs w:val="21"/>
          <w:u w:val="single"/>
        </w:rPr>
        <w:t> 国家标准</w:t>
      </w:r>
      <w:r>
        <w:rPr>
          <w:rFonts w:hint="eastAsia" w:ascii="仿宋_GB2312" w:hAnsi="仿宋_GB2312" w:eastAsia="仿宋_GB2312" w:cs="仿宋_GB2312"/>
          <w:color w:val="auto"/>
          <w:sz w:val="21"/>
          <w:szCs w:val="21"/>
          <w:u w:val="single"/>
          <w:lang w:eastAsia="zh-CN"/>
        </w:rPr>
        <w:t>（</w:t>
      </w:r>
      <w:r>
        <w:rPr>
          <w:rFonts w:hint="eastAsia" w:ascii="仿宋_GB2312" w:hAnsi="仿宋_GB2312" w:eastAsia="仿宋_GB2312" w:cs="仿宋_GB2312"/>
          <w:color w:val="auto"/>
          <w:sz w:val="21"/>
          <w:szCs w:val="21"/>
          <w:u w:val="single"/>
          <w:lang w:val="en-US" w:eastAsia="zh-CN"/>
        </w:rPr>
        <w:t>国家标准编号</w:t>
      </w:r>
      <w:r>
        <w:rPr>
          <w:rFonts w:hint="eastAsia" w:ascii="仿宋_GB2312" w:hAnsi="仿宋_GB2312" w:eastAsia="仿宋_GB2312" w:cs="仿宋_GB2312"/>
          <w:color w:val="auto"/>
          <w:sz w:val="21"/>
          <w:szCs w:val="21"/>
          <w:u w:val="single"/>
          <w:lang w:eastAsia="zh-CN"/>
        </w:rPr>
        <w:t>）</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标准执行</w:t>
      </w:r>
      <w:r>
        <w:rPr>
          <w:rFonts w:hint="eastAsia" w:ascii="仿宋_GB2312" w:hAnsi="仿宋_GB2312" w:eastAsia="仿宋_GB2312" w:cs="仿宋_GB2312"/>
          <w:i/>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i/>
          <w:color w:val="auto"/>
          <w:sz w:val="21"/>
          <w:szCs w:val="21"/>
        </w:rPr>
      </w:pPr>
      <w:r>
        <w:rPr>
          <w:rFonts w:hint="eastAsia" w:ascii="仿宋_GB2312" w:hAnsi="仿宋_GB2312" w:eastAsia="仿宋_GB2312" w:cs="仿宋_GB2312"/>
          <w:color w:val="auto"/>
          <w:sz w:val="21"/>
          <w:szCs w:val="21"/>
        </w:rPr>
        <w:t>⑵按样本，样本作为合同的附件。</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⑶按双方商定要求执行，具体为：</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u w:val="single"/>
          <w:lang w:val="en-US" w:eastAsia="zh-CN"/>
        </w:rPr>
        <w:t>/</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第二条　数量和计量单位、计量方法</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1.数量：</w:t>
      </w:r>
      <w:r>
        <w:rPr>
          <w:rFonts w:hint="eastAsia" w:ascii="仿宋_GB2312" w:hAnsi="仿宋_GB2312" w:eastAsia="仿宋_GB2312" w:cs="仿宋_GB2312"/>
          <w:color w:val="auto"/>
          <w:sz w:val="21"/>
          <w:szCs w:val="21"/>
          <w:u w:val="single"/>
        </w:rPr>
        <w:t>  以甲方实际通过验收</w:t>
      </w:r>
      <w:r>
        <w:rPr>
          <w:rFonts w:hint="eastAsia" w:ascii="仿宋_GB2312" w:hAnsi="仿宋_GB2312" w:eastAsia="仿宋_GB2312" w:cs="仿宋_GB2312"/>
          <w:color w:val="auto"/>
          <w:sz w:val="21"/>
          <w:szCs w:val="21"/>
          <w:u w:val="single"/>
          <w:lang w:val="en-US" w:eastAsia="zh-CN"/>
        </w:rPr>
        <w:t>签认</w:t>
      </w:r>
      <w:r>
        <w:rPr>
          <w:rFonts w:hint="eastAsia" w:ascii="仿宋_GB2312" w:hAnsi="仿宋_GB2312" w:eastAsia="仿宋_GB2312" w:cs="仿宋_GB2312"/>
          <w:color w:val="auto"/>
          <w:sz w:val="21"/>
          <w:szCs w:val="21"/>
          <w:u w:val="single"/>
        </w:rPr>
        <w:t>的数量为准（本合同货物数量可作增减，）</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2.计量单位和方法：</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szCs w:val="21"/>
          <w:u w:val="single"/>
        </w:rPr>
        <w:t>检尺计量</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color w:val="auto"/>
          <w:sz w:val="21"/>
          <w:szCs w:val="21"/>
          <w:u w:val="single"/>
          <w:lang w:val="zh-CN"/>
        </w:rPr>
        <w:t>过磅计量</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3.交货数量的正负尾差、合理磅差和在途自然增（减）量规定及计算方法按下面第</w:t>
      </w:r>
      <w:r>
        <w:rPr>
          <w:rFonts w:hint="eastAsia" w:ascii="仿宋_GB2312" w:hAnsi="仿宋_GB2312" w:eastAsia="仿宋_GB2312" w:cs="仿宋_GB2312"/>
          <w:color w:val="auto"/>
          <w:sz w:val="21"/>
          <w:szCs w:val="21"/>
          <w:u w:val="single"/>
        </w:rPr>
        <w:t xml:space="preserve"> 1 </w:t>
      </w:r>
      <w:r>
        <w:rPr>
          <w:rFonts w:hint="eastAsia" w:ascii="仿宋_GB2312" w:hAnsi="仿宋_GB2312" w:eastAsia="仿宋_GB2312" w:cs="仿宋_GB2312"/>
          <w:color w:val="auto"/>
          <w:sz w:val="21"/>
          <w:szCs w:val="21"/>
        </w:rPr>
        <w:t>条执行。</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⑴不允许出现损耗，以甲方工地现场收料数量为准。</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⑵按标准，合理损耗控制在之</w:t>
      </w:r>
      <w:r>
        <w:rPr>
          <w:rFonts w:hint="eastAsia" w:ascii="仿宋_GB2312" w:hAnsi="仿宋_GB2312" w:eastAsia="仿宋_GB2312" w:cs="仿宋_GB2312"/>
          <w:color w:val="auto"/>
          <w:sz w:val="21"/>
          <w:szCs w:val="21"/>
          <w:lang w:val="en-US" w:eastAsia="zh-CN"/>
        </w:rPr>
        <w:t xml:space="preserve"> 0.5</w:t>
      </w:r>
      <w:r>
        <w:rPr>
          <w:rFonts w:hint="eastAsia" w:ascii="仿宋_GB2312" w:hAnsi="仿宋_GB2312" w:eastAsia="仿宋_GB2312" w:cs="仿宋_GB2312"/>
          <w:color w:val="auto"/>
          <w:sz w:val="21"/>
          <w:szCs w:val="21"/>
        </w:rPr>
        <w:t>%内，超出的按扣除。</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⑶按双方商定要求执行，具体为：</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w:t>
      </w:r>
      <w:r>
        <w:rPr>
          <w:rFonts w:hint="eastAsia" w:ascii="仿宋_GB2312" w:hAnsi="仿宋_GB2312" w:eastAsia="仿宋_GB2312" w:cs="仿宋_GB2312"/>
          <w:color w:val="auto"/>
          <w:sz w:val="21"/>
          <w:szCs w:val="21"/>
          <w:u w:val="single"/>
        </w:rPr>
        <w:t xml:space="preserve">    。</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4.卖方代办运输的，运输途中允许有</w:t>
      </w:r>
      <w:r>
        <w:rPr>
          <w:rFonts w:hint="eastAsia" w:ascii="仿宋_GB2312" w:hAnsi="仿宋_GB2312" w:eastAsia="仿宋_GB2312" w:cs="仿宋_GB2312"/>
          <w:color w:val="auto"/>
          <w:sz w:val="21"/>
          <w:szCs w:val="21"/>
          <w:u w:val="single"/>
        </w:rPr>
        <w:t>0</w:t>
      </w:r>
      <w:r>
        <w:rPr>
          <w:rFonts w:hint="eastAsia" w:ascii="仿宋_GB2312" w:hAnsi="仿宋_GB2312" w:eastAsia="仿宋_GB2312" w:cs="仿宋_GB2312"/>
          <w:color w:val="auto"/>
          <w:sz w:val="21"/>
          <w:szCs w:val="21"/>
        </w:rPr>
        <w:t>%的自然增（减）量，交货数量允许有</w:t>
      </w:r>
      <w:r>
        <w:rPr>
          <w:rFonts w:hint="eastAsia" w:ascii="仿宋_GB2312" w:hAnsi="仿宋_GB2312" w:eastAsia="仿宋_GB2312" w:cs="仿宋_GB2312"/>
          <w:color w:val="auto"/>
          <w:sz w:val="21"/>
          <w:szCs w:val="21"/>
          <w:u w:val="single"/>
        </w:rPr>
        <w:t>0</w:t>
      </w:r>
      <w:r>
        <w:rPr>
          <w:rFonts w:hint="eastAsia" w:ascii="仿宋_GB2312" w:hAnsi="仿宋_GB2312" w:eastAsia="仿宋_GB2312" w:cs="仿宋_GB2312"/>
          <w:color w:val="auto"/>
          <w:sz w:val="21"/>
          <w:szCs w:val="21"/>
        </w:rPr>
        <w:t>%的正负尾差，结算时以实际交货数量为准。</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第三条　包装方式和包装品的处理</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1.产品包装应符合现行包装标准规定，以保证商品的存放和运输安全为前提，并符合运输规定要求。</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2.包装标准应符合该货物性能要求。因乙方原因，由于包装不当而引起的产品损伤或由于防护措施不善而引起产品锈蚀，乙方应赔偿由此而造成的全部损失，并向甲方承担违约责任。</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3.包装完整，原件数量短少或规格品种不符，经甲方查询乙方应给予解决。</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4.包装箱内应附有完整的维修保养、操作使用说明书。</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u w:val="single"/>
        </w:rPr>
        <w:t>包装费用由乙方承担</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第四条　交货方式</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1.交货时间：</w:t>
      </w:r>
      <w:r>
        <w:rPr>
          <w:rFonts w:hint="eastAsia" w:ascii="仿宋_GB2312" w:hAnsi="仿宋_GB2312" w:eastAsia="仿宋_GB2312" w:cs="仿宋_GB2312"/>
          <w:color w:val="auto"/>
          <w:sz w:val="21"/>
          <w:szCs w:val="21"/>
          <w:u w:val="single"/>
        </w:rPr>
        <w:t>  具体每次发货规格、数量以甲方书面通知为准；  </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2.交货地点：</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甲方指定地点</w:t>
      </w:r>
      <w:r>
        <w:rPr>
          <w:rFonts w:hint="eastAsia" w:ascii="仿宋_GB2312" w:hAnsi="仿宋_GB2312" w:eastAsia="仿宋_GB2312" w:cs="仿宋_GB2312"/>
          <w:color w:val="auto"/>
          <w:sz w:val="21"/>
          <w:szCs w:val="21"/>
          <w:u w:val="single"/>
        </w:rPr>
        <w:t xml:space="preserve"> ；   </w:t>
      </w:r>
    </w:p>
    <w:p>
      <w:pPr>
        <w:pStyle w:val="3"/>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3.运输方式：</w:t>
      </w:r>
      <w:r>
        <w:rPr>
          <w:rFonts w:hint="eastAsia" w:ascii="仿宋_GB2312" w:hAnsi="仿宋_GB2312" w:eastAsia="仿宋_GB2312" w:cs="仿宋_GB2312"/>
          <w:color w:val="auto"/>
          <w:sz w:val="21"/>
          <w:szCs w:val="21"/>
          <w:u w:val="single"/>
        </w:rPr>
        <w:t>   乙方负责  </w:t>
      </w:r>
      <w:r>
        <w:rPr>
          <w:rFonts w:hint="eastAsia" w:ascii="仿宋_GB2312" w:hAnsi="仿宋_GB2312" w:eastAsia="仿宋_GB2312" w:cs="仿宋_GB2312"/>
          <w:color w:val="auto"/>
          <w:sz w:val="21"/>
          <w:szCs w:val="21"/>
          <w:u w:val="single"/>
          <w:lang w:eastAsia="zh-CN"/>
        </w:rPr>
        <w:t>，</w:t>
      </w:r>
      <w:r>
        <w:rPr>
          <w:rFonts w:hint="eastAsia" w:ascii="仿宋_GB2312" w:hAnsi="仿宋_GB2312" w:eastAsia="仿宋_GB2312" w:cs="仿宋_GB2312"/>
          <w:color w:val="auto"/>
          <w:sz w:val="21"/>
          <w:szCs w:val="21"/>
          <w:u w:val="single"/>
          <w:lang w:val="en-US" w:eastAsia="zh-CN"/>
        </w:rPr>
        <w:t>费用由乙方承担</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4.保险：</w:t>
      </w:r>
      <w:r>
        <w:rPr>
          <w:rFonts w:hint="eastAsia" w:ascii="仿宋_GB2312" w:hAnsi="仿宋_GB2312" w:eastAsia="仿宋_GB2312" w:cs="仿宋_GB2312"/>
          <w:color w:val="auto"/>
          <w:sz w:val="21"/>
          <w:szCs w:val="21"/>
          <w:u w:val="single"/>
        </w:rPr>
        <w:t>    乙方负责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5.与买卖相关的单证的转移：</w:t>
      </w:r>
      <w:r>
        <w:rPr>
          <w:rFonts w:hint="eastAsia" w:ascii="仿宋_GB2312" w:hAnsi="仿宋_GB2312" w:eastAsia="仿宋_GB2312" w:cs="仿宋_GB2312"/>
          <w:color w:val="auto"/>
          <w:sz w:val="21"/>
          <w:szCs w:val="21"/>
          <w:u w:val="single"/>
        </w:rPr>
        <w:t>   出厂证明、相应合格证、检验报告、材质单等必要文件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6.卸货：</w:t>
      </w:r>
      <w:r>
        <w:rPr>
          <w:rFonts w:hint="eastAsia" w:ascii="仿宋_GB2312" w:hAnsi="仿宋_GB2312" w:eastAsia="仿宋_GB2312" w:cs="仿宋_GB2312"/>
          <w:sz w:val="21"/>
          <w:szCs w:val="21"/>
        </w:rPr>
        <w:t>乙方负责卸货并承担相应费用</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第五条　验收</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1.验收时间：</w:t>
      </w:r>
      <w:r>
        <w:rPr>
          <w:rFonts w:hint="eastAsia" w:ascii="仿宋_GB2312" w:hAnsi="仿宋_GB2312" w:eastAsia="仿宋_GB2312" w:cs="仿宋_GB2312"/>
          <w:color w:val="auto"/>
          <w:sz w:val="21"/>
          <w:szCs w:val="21"/>
          <w:u w:val="single"/>
        </w:rPr>
        <w:t>  钢材进场时  ；</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2.验收方法：</w:t>
      </w:r>
      <w:r>
        <w:rPr>
          <w:rFonts w:hint="eastAsia" w:ascii="仿宋_GB2312" w:hAnsi="仿宋_GB2312" w:eastAsia="仿宋_GB2312" w:cs="仿宋_GB2312"/>
          <w:color w:val="auto"/>
          <w:sz w:val="21"/>
          <w:szCs w:val="21"/>
          <w:u w:val="single"/>
        </w:rPr>
        <w:t>    随机抽检 。</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3.验收标准：</w:t>
      </w:r>
      <w:r>
        <w:rPr>
          <w:rFonts w:hint="eastAsia" w:ascii="仿宋_GB2312" w:hAnsi="仿宋_GB2312" w:eastAsia="仿宋_GB2312" w:cs="仿宋_GB2312"/>
          <w:color w:val="auto"/>
          <w:sz w:val="21"/>
          <w:szCs w:val="21"/>
          <w:u w:val="single"/>
        </w:rPr>
        <w:t> 必须符合国家标准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4.验收和试验：</w:t>
      </w:r>
      <w:r>
        <w:rPr>
          <w:rFonts w:hint="eastAsia" w:ascii="仿宋_GB2312" w:hAnsi="仿宋_GB2312" w:eastAsia="仿宋_GB2312" w:cs="仿宋_GB2312"/>
          <w:color w:val="auto"/>
          <w:sz w:val="21"/>
          <w:szCs w:val="21"/>
          <w:u w:val="single"/>
        </w:rPr>
        <w:t>甲方</w:t>
      </w:r>
      <w:r>
        <w:rPr>
          <w:rFonts w:hint="eastAsia" w:ascii="仿宋_GB2312" w:hAnsi="仿宋_GB2312" w:eastAsia="仿宋_GB2312" w:cs="仿宋_GB2312"/>
          <w:color w:val="auto"/>
          <w:sz w:val="21"/>
          <w:szCs w:val="21"/>
          <w:u w:val="single"/>
          <w:lang w:val="en-US" w:eastAsia="zh-CN"/>
        </w:rPr>
        <w:t>负责</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single"/>
          <w:lang w:val="en-US" w:eastAsia="zh-CN"/>
        </w:rPr>
        <w:t>甲方验收合格并不能排除乙方对产品质量应承担的责任</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5.甲方在验收中，如果发现乙方交付的货物不符合约定，应及时告知乙方，由此产生的保管、保养等费用由乙方承担;乙方在接到甲方异议后，应在</w:t>
      </w:r>
      <w:r>
        <w:rPr>
          <w:rFonts w:hint="eastAsia" w:ascii="仿宋_GB2312" w:hAnsi="仿宋_GB2312" w:eastAsia="仿宋_GB2312" w:cs="仿宋_GB2312"/>
          <w:color w:val="auto"/>
          <w:sz w:val="21"/>
          <w:szCs w:val="21"/>
          <w:u w:val="single"/>
        </w:rPr>
        <w:t>3</w:t>
      </w:r>
      <w:r>
        <w:rPr>
          <w:rFonts w:hint="eastAsia" w:ascii="仿宋_GB2312" w:hAnsi="仿宋_GB2312" w:eastAsia="仿宋_GB2312" w:cs="仿宋_GB2312"/>
          <w:color w:val="auto"/>
          <w:sz w:val="21"/>
          <w:szCs w:val="21"/>
        </w:rPr>
        <w:t>天内负责处理，否则，即视为默认甲方提出的异议和处理意见。</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6.验收如发生争议，由</w:t>
      </w:r>
      <w:r>
        <w:rPr>
          <w:rFonts w:hint="eastAsia" w:ascii="仿宋_GB2312" w:hAnsi="仿宋_GB2312" w:eastAsia="仿宋_GB2312" w:cs="仿宋_GB2312"/>
          <w:color w:val="auto"/>
          <w:sz w:val="21"/>
          <w:szCs w:val="21"/>
          <w:u w:val="none"/>
          <w:lang w:val="en-US" w:eastAsia="zh-CN"/>
        </w:rPr>
        <w:t>双方认可的</w:t>
      </w:r>
      <w:r>
        <w:rPr>
          <w:rFonts w:hint="eastAsia" w:ascii="仿宋_GB2312" w:hAnsi="仿宋_GB2312" w:eastAsia="仿宋_GB2312" w:cs="仿宋_GB2312"/>
          <w:color w:val="auto"/>
          <w:sz w:val="21"/>
          <w:szCs w:val="21"/>
        </w:rPr>
        <w:t>检验机构按</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u w:val="single"/>
          <w:lang w:val="zh-TW" w:eastAsia="zh-TW"/>
        </w:rPr>
        <w:t>国家规定的质量</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检验标准和方法，对产品进行检验。</w:t>
      </w:r>
      <w:r>
        <w:rPr>
          <w:rFonts w:hint="eastAsia" w:ascii="仿宋_GB2312" w:hAnsi="仿宋_GB2312" w:eastAsia="仿宋_GB2312" w:cs="仿宋_GB2312"/>
          <w:color w:val="auto"/>
          <w:sz w:val="21"/>
          <w:szCs w:val="21"/>
          <w:lang w:val="en-US" w:eastAsia="zh-CN"/>
        </w:rPr>
        <w:t>由此产生的检测费、运输费等相关费用由责任方承担。</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甲乙双方对每批货物质量及数量验收均无异议后，甲方方可使用该批货物。</w:t>
      </w:r>
    </w:p>
    <w:p>
      <w:pPr>
        <w:keepNext w:val="0"/>
        <w:keepLines w:val="0"/>
        <w:pageBreakBefore w:val="0"/>
        <w:kinsoku/>
        <w:wordWrap/>
        <w:overflowPunct/>
        <w:topLinePunct w:val="0"/>
        <w:bidi w:val="0"/>
        <w:snapToGrid w:val="0"/>
        <w:spacing w:line="520" w:lineRule="exact"/>
        <w:ind w:firstLine="420" w:firstLineChars="200"/>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000000"/>
          <w:sz w:val="21"/>
          <w:szCs w:val="21"/>
          <w:u w:val="none" w:color="auto"/>
          <w:lang w:val="en-US" w:eastAsia="zh-CN"/>
        </w:rPr>
        <w:t>货物经甲方验收合格（或甲方委托第三方检测合格）方可办理结算付款。</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第六条　价格与货款支付、结算、发票开具</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 合同标的及价格清单</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该合同金额</w:t>
      </w:r>
      <w:r>
        <w:rPr>
          <w:rFonts w:hint="eastAsia" w:ascii="仿宋_GB2312" w:hAnsi="仿宋_GB2312" w:eastAsia="仿宋_GB2312" w:cs="仿宋_GB2312"/>
          <w:color w:val="auto"/>
          <w:sz w:val="21"/>
          <w:szCs w:val="21"/>
          <w:lang w:val="en-US" w:eastAsia="zh-CN"/>
        </w:rPr>
        <w:t>暂估</w:t>
      </w:r>
      <w:r>
        <w:rPr>
          <w:rFonts w:hint="eastAsia" w:ascii="仿宋_GB2312" w:hAnsi="仿宋_GB2312" w:eastAsia="仿宋_GB2312" w:cs="仿宋_GB2312"/>
          <w:color w:val="auto"/>
          <w:sz w:val="21"/>
          <w:szCs w:val="21"/>
        </w:rPr>
        <w:t>为人民币</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大写</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元</w:t>
      </w:r>
      <w:r>
        <w:rPr>
          <w:rFonts w:hint="eastAsia" w:ascii="仿宋_GB2312" w:hAnsi="仿宋_GB2312" w:eastAsia="仿宋_GB2312" w:cs="仿宋_GB2312"/>
          <w:color w:val="auto"/>
          <w:sz w:val="21"/>
          <w:szCs w:val="21"/>
          <w:lang w:val="en-US" w:eastAsia="zh-CN"/>
        </w:rPr>
        <w:t>整</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。其中不含税金额为</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；增值税金额</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增值税税率为</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钢材单价的确定原则：</w:t>
      </w:r>
      <w:r>
        <w:rPr>
          <w:rFonts w:hint="eastAsia" w:ascii="仿宋_GB2312" w:hAnsi="仿宋_GB2312" w:eastAsia="仿宋_GB2312" w:cs="仿宋_GB2312"/>
          <w:color w:val="auto"/>
          <w:sz w:val="21"/>
          <w:szCs w:val="21"/>
        </w:rPr>
        <w:t>每吨钢材单价采取以下公式计算，即 A=（B+C）元/吨，其中，</w:t>
      </w:r>
      <w:r>
        <w:rPr>
          <w:rFonts w:hint="eastAsia" w:ascii="仿宋_GB2312" w:hAnsi="仿宋_GB2312" w:eastAsia="仿宋_GB2312" w:cs="仿宋_GB2312"/>
          <w:color w:val="auto"/>
          <w:sz w:val="21"/>
          <w:szCs w:val="21"/>
          <w:lang w:val="zh-TW" w:eastAsia="zh-TW"/>
        </w:rPr>
        <w:t>本合同为订货合同，</w:t>
      </w:r>
      <w:r>
        <w:rPr>
          <w:rFonts w:hint="eastAsia" w:ascii="仿宋_GB2312" w:hAnsi="仿宋_GB2312" w:eastAsia="仿宋_GB2312" w:cs="仿宋_GB2312"/>
          <w:color w:val="auto"/>
          <w:sz w:val="21"/>
          <w:szCs w:val="21"/>
          <w:lang w:val="en-US" w:eastAsia="zh-CN"/>
        </w:rPr>
        <w:t>合同签订价为暂估价，实际结算价格根据乙方发货前一日西本新干线及西本钢铁网信息指导价进行下浮  X %。</w:t>
      </w:r>
    </w:p>
    <w:p>
      <w:pPr>
        <w:keepNext w:val="0"/>
        <w:keepLines w:val="0"/>
        <w:pageBreakBefore w:val="0"/>
        <w:kinsoku/>
        <w:wordWrap/>
        <w:overflowPunct/>
        <w:topLinePunct w:val="0"/>
        <w:bidi w:val="0"/>
        <w:snapToGrid w:val="0"/>
        <w:spacing w:line="520" w:lineRule="exact"/>
        <w:ind w:firstLine="57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A</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为每吨钢材到站价单价(包含但不限于材料费、加工费、试验费、包装费、搬运、储存、装卸车费、</w:t>
      </w:r>
      <w:r>
        <w:rPr>
          <w:rFonts w:hint="eastAsia" w:ascii="仿宋_GB2312" w:hAnsi="仿宋_GB2312" w:eastAsia="仿宋_GB2312" w:cs="仿宋_GB2312"/>
          <w:color w:val="auto"/>
          <w:sz w:val="21"/>
          <w:szCs w:val="21"/>
          <w:highlight w:val="none"/>
          <w:lang w:val="en-US" w:eastAsia="zh-CN"/>
        </w:rPr>
        <w:t>增值税、</w:t>
      </w:r>
      <w:r>
        <w:rPr>
          <w:rFonts w:hint="eastAsia" w:ascii="仿宋_GB2312" w:hAnsi="仿宋_GB2312" w:eastAsia="仿宋_GB2312" w:cs="仿宋_GB2312"/>
          <w:color w:val="auto"/>
          <w:sz w:val="21"/>
          <w:szCs w:val="21"/>
          <w:highlight w:val="none"/>
        </w:rPr>
        <w:t>服务费及售后服务费等以及所有相关税项费用)。</w:t>
      </w:r>
    </w:p>
    <w:p>
      <w:pPr>
        <w:keepNext w:val="0"/>
        <w:keepLines w:val="0"/>
        <w:pageBreakBefore w:val="0"/>
        <w:kinsoku/>
        <w:wordWrap/>
        <w:overflowPunct/>
        <w:topLinePunct w:val="0"/>
        <w:bidi w:val="0"/>
        <w:snapToGrid w:val="0"/>
        <w:spacing w:line="520" w:lineRule="exact"/>
        <w:ind w:firstLine="57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B</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为出厂参考单价即网价是指钢材到货当日，</w:t>
      </w:r>
      <w:r>
        <w:rPr>
          <w:rFonts w:hint="eastAsia" w:ascii="仿宋_GB2312" w:hAnsi="仿宋_GB2312" w:eastAsia="仿宋_GB2312" w:cs="仿宋_GB2312"/>
          <w:color w:val="auto"/>
          <w:sz w:val="21"/>
          <w:szCs w:val="21"/>
          <w:highlight w:val="none"/>
          <w:lang w:val="en-US" w:eastAsia="zh-CN"/>
        </w:rPr>
        <w:t>西本新干线（http://jinan.96369.net/city/Quotation/quotation/1）及西本钢铁网（http://www.gtxhw.cn/market_news.asp?dq=17）</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u w:val="thick"/>
          <w:lang w:val="en-US" w:eastAsia="zh-CN"/>
        </w:rPr>
        <w:t xml:space="preserve"> （项目所在市或区）  </w:t>
      </w:r>
      <w:r>
        <w:rPr>
          <w:rFonts w:hint="eastAsia" w:ascii="仿宋_GB2312" w:hAnsi="仿宋_GB2312" w:eastAsia="仿宋_GB2312" w:cs="仿宋_GB2312"/>
          <w:color w:val="auto"/>
          <w:sz w:val="21"/>
          <w:szCs w:val="21"/>
          <w:highlight w:val="none"/>
          <w:u w:val="thick"/>
        </w:rPr>
        <w:t>市</w:t>
      </w:r>
      <w:r>
        <w:rPr>
          <w:rFonts w:hint="eastAsia" w:ascii="仿宋_GB2312" w:hAnsi="仿宋_GB2312" w:eastAsia="仿宋_GB2312" w:cs="仿宋_GB2312"/>
          <w:color w:val="auto"/>
          <w:sz w:val="21"/>
          <w:szCs w:val="21"/>
          <w:highlight w:val="none"/>
        </w:rPr>
        <w:t>场价格行情相同钢厂、相同材质、相同规格型号的钢材单价</w:t>
      </w:r>
      <w:r>
        <w:rPr>
          <w:rFonts w:hint="eastAsia" w:ascii="仿宋_GB2312" w:hAnsi="仿宋_GB2312" w:eastAsia="仿宋_GB2312" w:cs="仿宋_GB2312"/>
          <w:color w:val="auto"/>
          <w:sz w:val="21"/>
          <w:szCs w:val="21"/>
          <w:highlight w:val="none"/>
          <w:lang w:val="en-US" w:eastAsia="zh-CN"/>
        </w:rPr>
        <w:t>进行下浮X %。西本新干线及西本钢铁网</w:t>
      </w:r>
      <w:r>
        <w:rPr>
          <w:rFonts w:hint="eastAsia" w:ascii="仿宋_GB2312" w:hAnsi="仿宋_GB2312" w:eastAsia="仿宋_GB2312" w:cs="仿宋_GB2312"/>
          <w:color w:val="auto"/>
          <w:sz w:val="21"/>
          <w:szCs w:val="21"/>
          <w:highlight w:val="none"/>
        </w:rPr>
        <w:t>缺项的材料规格参照最接近小规格价格，无更小规格参照最接近大规格价格</w:t>
      </w:r>
      <w:r>
        <w:rPr>
          <w:rFonts w:hint="eastAsia" w:ascii="仿宋_GB2312" w:hAnsi="仿宋_GB2312" w:eastAsia="仿宋_GB2312" w:cs="仿宋_GB2312"/>
          <w:color w:val="auto"/>
          <w:sz w:val="21"/>
          <w:szCs w:val="21"/>
          <w:highlight w:val="none"/>
          <w:lang w:val="en-US" w:eastAsia="zh-CN"/>
        </w:rPr>
        <w:t>进行下浮X %</w:t>
      </w:r>
      <w:r>
        <w:rPr>
          <w:rFonts w:hint="eastAsia" w:ascii="仿宋_GB2312" w:hAnsi="仿宋_GB2312" w:eastAsia="仿宋_GB2312" w:cs="仿宋_GB2312"/>
          <w:color w:val="auto"/>
          <w:sz w:val="21"/>
          <w:szCs w:val="21"/>
          <w:highlight w:val="none"/>
          <w:lang w:eastAsia="zh-CN"/>
        </w:rPr>
        <w:t>。</w:t>
      </w:r>
    </w:p>
    <w:p>
      <w:pPr>
        <w:keepNext w:val="0"/>
        <w:keepLines w:val="0"/>
        <w:pageBreakBefore w:val="0"/>
        <w:kinsoku/>
        <w:wordWrap/>
        <w:overflowPunct/>
        <w:topLinePunct w:val="0"/>
        <w:bidi w:val="0"/>
        <w:snapToGrid w:val="0"/>
        <w:spacing w:line="520" w:lineRule="exact"/>
        <w:ind w:firstLine="630" w:firstLineChars="300"/>
        <w:textAlignment w:val="auto"/>
        <w:rPr>
          <w:rFonts w:hint="eastAsia" w:ascii="仿宋_GB2312" w:hAnsi="仿宋_GB2312" w:eastAsia="仿宋_GB2312" w:cs="仿宋_GB2312"/>
          <w:color w:val="auto"/>
          <w:sz w:val="21"/>
          <w:szCs w:val="21"/>
          <w:highlight w:val="none"/>
          <w:lang w:val="en-US" w:eastAsia="zh-CN"/>
        </w:rPr>
      </w:pPr>
      <w:bookmarkStart w:id="0" w:name="_GoBack"/>
      <w:bookmarkEnd w:id="0"/>
      <w:r>
        <w:rPr>
          <w:rFonts w:hint="eastAsia" w:ascii="仿宋_GB2312" w:hAnsi="仿宋_GB2312" w:eastAsia="仿宋_GB2312" w:cs="仿宋_GB2312"/>
          <w:color w:val="auto"/>
          <w:sz w:val="21"/>
          <w:szCs w:val="21"/>
          <w:highlight w:val="none"/>
          <w:lang w:val="zh-CN"/>
        </w:rPr>
        <w:t>C</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lang w:val="zh-CN"/>
        </w:rPr>
        <w:t>为</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lang w:val="zh-CN"/>
        </w:rPr>
        <w:t>将钢材运至</w:t>
      </w:r>
      <w:r>
        <w:rPr>
          <w:rFonts w:hint="eastAsia" w:ascii="仿宋_GB2312" w:hAnsi="仿宋_GB2312" w:eastAsia="仿宋_GB2312" w:cs="仿宋_GB2312"/>
          <w:color w:val="auto"/>
          <w:sz w:val="21"/>
          <w:szCs w:val="21"/>
          <w:highlight w:val="none"/>
          <w:lang w:val="en-US" w:eastAsia="zh-CN"/>
        </w:rPr>
        <w:t>甲</w:t>
      </w:r>
      <w:r>
        <w:rPr>
          <w:rFonts w:hint="eastAsia" w:ascii="仿宋_GB2312" w:hAnsi="仿宋_GB2312" w:eastAsia="仿宋_GB2312" w:cs="仿宋_GB2312"/>
          <w:color w:val="auto"/>
          <w:sz w:val="21"/>
          <w:szCs w:val="21"/>
          <w:highlight w:val="none"/>
          <w:lang w:val="zh-CN"/>
        </w:rPr>
        <w:t>方工程施工标段内指定工点的综合费</w:t>
      </w:r>
      <w:r>
        <w:rPr>
          <w:rFonts w:hint="eastAsia" w:ascii="仿宋_GB2312" w:hAnsi="仿宋_GB2312" w:eastAsia="仿宋_GB2312" w:cs="仿宋_GB2312"/>
          <w:color w:val="FF0000"/>
          <w:sz w:val="21"/>
          <w:szCs w:val="21"/>
          <w:highlight w:val="none"/>
          <w:lang w:val="zh-CN"/>
        </w:rPr>
        <w:t>（综合费可为正，也可为负，由供应商根据本单位情况综合考虑报价，合同期内，综合费不再变动，</w:t>
      </w:r>
      <w:r>
        <w:rPr>
          <w:rFonts w:hint="eastAsia" w:ascii="仿宋_GB2312" w:hAnsi="仿宋_GB2312" w:eastAsia="仿宋_GB2312" w:cs="仿宋_GB2312"/>
          <w:color w:val="FF0000"/>
          <w:sz w:val="21"/>
          <w:szCs w:val="21"/>
          <w:highlight w:val="none"/>
          <w:lang w:val="en-US" w:eastAsia="zh-CN"/>
        </w:rPr>
        <w:t>即上浮和下浮</w:t>
      </w:r>
      <w:r>
        <w:rPr>
          <w:rFonts w:hint="eastAsia" w:ascii="仿宋_GB2312" w:hAnsi="仿宋_GB2312" w:eastAsia="仿宋_GB2312" w:cs="仿宋_GB2312"/>
          <w:color w:val="FF0000"/>
          <w:sz w:val="21"/>
          <w:szCs w:val="21"/>
          <w:highlight w:val="none"/>
          <w:lang w:val="zh-CN"/>
        </w:rPr>
        <w:t>）</w:t>
      </w:r>
      <w:r>
        <w:rPr>
          <w:rFonts w:hint="eastAsia" w:ascii="仿宋_GB2312" w:hAnsi="仿宋_GB2312" w:eastAsia="仿宋_GB2312" w:cs="仿宋_GB2312"/>
          <w:color w:val="auto"/>
          <w:sz w:val="21"/>
          <w:szCs w:val="21"/>
          <w:highlight w:val="none"/>
          <w:lang w:val="zh-CN"/>
        </w:rPr>
        <w:t>，投标方可自行考察施工工地。经协商最终确定</w:t>
      </w:r>
      <w:r>
        <w:rPr>
          <w:rFonts w:hint="eastAsia" w:ascii="仿宋_GB2312" w:hAnsi="仿宋_GB2312" w:eastAsia="仿宋_GB2312" w:cs="仿宋_GB2312"/>
          <w:color w:val="auto"/>
          <w:sz w:val="21"/>
          <w:szCs w:val="21"/>
          <w:highlight w:val="none"/>
          <w:lang w:val="en-US" w:eastAsia="zh-CN"/>
        </w:rPr>
        <w:t>C部分为</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lang w:val="en-US" w:eastAsia="zh-CN"/>
        </w:rPr>
        <w:t>元人民币。</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lang w:val="en-US" w:eastAsia="zh-CN"/>
        </w:rPr>
        <w:t>（3）乙方接受甲方采购订单并负责发货的联系人为</w:t>
      </w:r>
      <w:r>
        <w:rPr>
          <w:rFonts w:hint="eastAsia" w:ascii="仿宋_GB2312" w:hAnsi="仿宋_GB2312" w:eastAsia="仿宋_GB2312" w:cs="仿宋_GB2312"/>
          <w:color w:val="auto"/>
          <w:sz w:val="21"/>
          <w:szCs w:val="21"/>
          <w:u w:val="single"/>
          <w:lang w:val="en-US" w:eastAsia="zh-CN"/>
        </w:rPr>
        <w:t xml:space="preserve">       电话：       </w:t>
      </w:r>
      <w:r>
        <w:rPr>
          <w:rFonts w:hint="eastAsia" w:ascii="仿宋_GB2312" w:hAnsi="仿宋_GB2312" w:eastAsia="仿宋_GB2312" w:cs="仿宋_GB2312"/>
          <w:color w:val="auto"/>
          <w:sz w:val="21"/>
          <w:szCs w:val="21"/>
          <w:u w:val="none"/>
          <w:lang w:val="en-US" w:eastAsia="zh-CN"/>
        </w:rPr>
        <w:t xml:space="preserve"> ；      </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2.产品货款的结算</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（1）乙方开具收据并持续送货,每次供货需双方签字确认计量,每月30日结算当月计量,乙方开具增值税专用发票,甲方根据开票金额打款,乙方给予甲方垫资发货，结算日为垫资期限满30天或者50万元。</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结算时乙方须向甲方提供</w:t>
      </w:r>
      <w:r>
        <w:rPr>
          <w:rFonts w:hint="eastAsia" w:ascii="仿宋_GB2312" w:hAnsi="仿宋_GB2312" w:eastAsia="仿宋_GB2312" w:cs="仿宋_GB2312"/>
          <w:color w:val="auto"/>
          <w:sz w:val="21"/>
          <w:szCs w:val="21"/>
          <w:lang w:val="en-US" w:eastAsia="zh-CN"/>
        </w:rPr>
        <w:t>收款收据及</w:t>
      </w:r>
      <w:r>
        <w:rPr>
          <w:rFonts w:hint="eastAsia" w:ascii="仿宋_GB2312" w:hAnsi="仿宋_GB2312" w:eastAsia="仿宋_GB2312" w:cs="仿宋_GB2312"/>
          <w:color w:val="auto"/>
          <w:sz w:val="21"/>
          <w:szCs w:val="21"/>
        </w:rPr>
        <w:t>与采购总价（以甲方实际通过验收货物数量的含税总价为准）等额的增值税</w:t>
      </w:r>
      <w:r>
        <w:rPr>
          <w:rFonts w:hint="eastAsia" w:ascii="仿宋_GB2312" w:hAnsi="仿宋_GB2312" w:eastAsia="仿宋_GB2312" w:cs="仿宋_GB2312"/>
          <w:color w:val="auto"/>
          <w:sz w:val="21"/>
          <w:szCs w:val="21"/>
          <w:lang w:val="en-US" w:eastAsia="zh-CN"/>
        </w:rPr>
        <w:t>专用</w:t>
      </w:r>
      <w:r>
        <w:rPr>
          <w:rFonts w:hint="eastAsia" w:ascii="仿宋_GB2312" w:hAnsi="仿宋_GB2312" w:eastAsia="仿宋_GB2312" w:cs="仿宋_GB2312"/>
          <w:color w:val="auto"/>
          <w:sz w:val="21"/>
          <w:szCs w:val="21"/>
        </w:rPr>
        <w:t>发票或由乙方向主管税务机关申请代开与采购总价（以甲方实际通过验收货物数量的含税总价为准）等额的增值税</w:t>
      </w:r>
      <w:r>
        <w:rPr>
          <w:rFonts w:hint="eastAsia" w:ascii="仿宋_GB2312" w:hAnsi="仿宋_GB2312" w:eastAsia="仿宋_GB2312" w:cs="仿宋_GB2312"/>
          <w:color w:val="auto"/>
          <w:sz w:val="21"/>
          <w:szCs w:val="21"/>
          <w:lang w:val="en-US" w:eastAsia="zh-CN"/>
        </w:rPr>
        <w:t>专用</w:t>
      </w:r>
      <w:r>
        <w:rPr>
          <w:rFonts w:hint="eastAsia" w:ascii="仿宋_GB2312" w:hAnsi="仿宋_GB2312" w:eastAsia="仿宋_GB2312" w:cs="仿宋_GB2312"/>
          <w:color w:val="auto"/>
          <w:sz w:val="21"/>
          <w:szCs w:val="21"/>
        </w:rPr>
        <w:t>发票。</w:t>
      </w:r>
    </w:p>
    <w:p>
      <w:pPr>
        <w:keepNext w:val="0"/>
        <w:keepLines w:val="0"/>
        <w:pageBreakBefore w:val="0"/>
        <w:kinsoku/>
        <w:wordWrap/>
        <w:overflowPunct/>
        <w:topLinePunct w:val="0"/>
        <w:bidi w:val="0"/>
        <w:snapToGrid w:val="0"/>
        <w:spacing w:line="520" w:lineRule="exact"/>
        <w:ind w:firstLine="56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3.产品货款的支付</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highlight w:val="none"/>
        </w:rPr>
        <w:t>货款的支付时间：</w:t>
      </w:r>
      <w:r>
        <w:rPr>
          <w:rFonts w:hint="eastAsia" w:ascii="仿宋_GB2312" w:hAnsi="仿宋_GB2312" w:eastAsia="仿宋_GB2312" w:cs="仿宋_GB2312"/>
          <w:color w:val="auto"/>
          <w:sz w:val="21"/>
          <w:szCs w:val="21"/>
          <w:highlight w:val="none"/>
          <w:u w:val="single"/>
          <w:lang w:val="en-US" w:eastAsia="zh-CN"/>
        </w:rPr>
        <w:t>乙方开具增</w:t>
      </w:r>
      <w:r>
        <w:rPr>
          <w:rFonts w:hint="eastAsia" w:ascii="仿宋_GB2312" w:hAnsi="仿宋_GB2312" w:eastAsia="仿宋_GB2312" w:cs="仿宋_GB2312"/>
          <w:color w:val="auto"/>
          <w:sz w:val="21"/>
          <w:szCs w:val="21"/>
          <w:u w:val="single"/>
          <w:lang w:val="en-US" w:eastAsia="zh-CN"/>
        </w:rPr>
        <w:t>值税专用发票,甲方根据开票金额打款,乙方给予甲方垫资发货，结算日为垫资期限满30天或者50万元</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FF0000"/>
          <w:sz w:val="21"/>
          <w:szCs w:val="21"/>
          <w:lang w:eastAsia="zh-CN"/>
        </w:rPr>
        <w:t>（</w:t>
      </w:r>
      <w:r>
        <w:rPr>
          <w:rFonts w:hint="eastAsia" w:ascii="仿宋_GB2312" w:hAnsi="仿宋_GB2312" w:eastAsia="仿宋_GB2312" w:cs="仿宋_GB2312"/>
          <w:color w:val="FF0000"/>
          <w:sz w:val="21"/>
          <w:szCs w:val="21"/>
          <w:lang w:val="en-US" w:eastAsia="zh-CN"/>
        </w:rPr>
        <w:t>或者按季度或者按供货量来设计支付节点，可根据项目资金实际情况约定支付时间</w:t>
      </w:r>
      <w:r>
        <w:rPr>
          <w:rFonts w:hint="eastAsia" w:ascii="仿宋_GB2312" w:hAnsi="仿宋_GB2312" w:eastAsia="仿宋_GB2312" w:cs="仿宋_GB2312"/>
          <w:color w:val="auto"/>
          <w:sz w:val="21"/>
          <w:szCs w:val="21"/>
          <w:lang w:eastAsia="zh-CN"/>
        </w:rPr>
        <w:t>），甲方将按照业主实际支付工程进度款的相同比例向乙方支付供货进度款，乙方应具有一定的风险承受能力，对本合同的资金支付与使用可能出现的各种不利因素已做出了合理的安排和保证。在合同履行过程中，如因业主拨付工程款不及时导致甲方资金紧张，付款时间相应顺延，对此乙方</w:t>
      </w:r>
      <w:r>
        <w:rPr>
          <w:rFonts w:hint="eastAsia" w:ascii="仿宋_GB2312" w:hAnsi="仿宋_GB2312" w:eastAsia="仿宋_GB2312" w:cs="仿宋_GB2312"/>
          <w:color w:val="auto"/>
          <w:sz w:val="21"/>
          <w:szCs w:val="21"/>
          <w:lang w:val="en-US" w:eastAsia="zh-CN"/>
        </w:rPr>
        <w:t>应</w:t>
      </w:r>
      <w:r>
        <w:rPr>
          <w:rFonts w:hint="eastAsia" w:ascii="仿宋_GB2312" w:hAnsi="仿宋_GB2312" w:eastAsia="仿宋_GB2312" w:cs="仿宋_GB2312"/>
          <w:color w:val="auto"/>
          <w:sz w:val="21"/>
          <w:szCs w:val="21"/>
          <w:lang w:eastAsia="zh-CN"/>
        </w:rPr>
        <w:t>给予充分理解并保证持续供货，</w:t>
      </w:r>
      <w:r>
        <w:rPr>
          <w:rFonts w:hint="eastAsia" w:ascii="仿宋_GB2312" w:hAnsi="仿宋_GB2312" w:eastAsia="仿宋_GB2312" w:cs="仿宋_GB2312"/>
          <w:sz w:val="21"/>
          <w:szCs w:val="21"/>
          <w:lang w:val="zh-CN" w:eastAsia="zh-CN"/>
        </w:rPr>
        <w:t>允许甲方适当拖延付款时点，且乙方不得以此理由起诉甲方，不得以此理由或方式向甲方索要材料款</w:t>
      </w:r>
      <w:r>
        <w:rPr>
          <w:rFonts w:hint="eastAsia" w:ascii="仿宋_GB2312" w:hAnsi="仿宋_GB2312" w:eastAsia="仿宋_GB2312" w:cs="仿宋_GB2312"/>
          <w:sz w:val="21"/>
          <w:szCs w:val="21"/>
          <w:lang w:val="en-US" w:eastAsia="zh-CN"/>
        </w:rPr>
        <w:t>，甲方不承担延期付款利息</w:t>
      </w:r>
      <w:r>
        <w:rPr>
          <w:rFonts w:hint="eastAsia" w:ascii="仿宋_GB2312" w:hAnsi="仿宋_GB2312" w:eastAsia="仿宋_GB2312" w:cs="仿宋_GB2312"/>
          <w:sz w:val="21"/>
          <w:szCs w:val="21"/>
          <w:lang w:val="zh-CN" w:eastAsia="zh-CN"/>
        </w:rPr>
        <w:t>。</w:t>
      </w:r>
      <w:r>
        <w:rPr>
          <w:rFonts w:hint="eastAsia" w:ascii="仿宋_GB2312" w:hAnsi="仿宋_GB2312" w:eastAsia="仿宋_GB2312" w:cs="仿宋_GB2312"/>
          <w:sz w:val="21"/>
          <w:szCs w:val="21"/>
        </w:rPr>
        <w:t>若乙方未按合同及时供货或供货不满足施工要求造成质量缺陷的，甲方有权拒付货款，由此给甲方造成的一切损失由乙方承担。</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乙方必须以合同约定账户收款，若账户变更应及时通知甲方，并签订合同变更或补充合同；如乙方随意改变账户,甲方将拒付货款,由此引起的延期付款责任及相关的损失由乙方承担。合同约定乙方收款账户名称必须与合同签订人单位名称相符,否则,甲方不予支付</w:t>
      </w:r>
      <w:r>
        <w:rPr>
          <w:rFonts w:hint="eastAsia" w:ascii="仿宋_GB2312" w:hAnsi="仿宋_GB2312" w:eastAsia="仿宋_GB2312" w:cs="仿宋_GB2312"/>
          <w:sz w:val="21"/>
          <w:szCs w:val="21"/>
          <w:lang w:val="en-US" w:eastAsia="zh-CN"/>
        </w:rPr>
        <w:t>货</w:t>
      </w:r>
      <w:r>
        <w:rPr>
          <w:rFonts w:hint="eastAsia" w:ascii="仿宋_GB2312" w:hAnsi="仿宋_GB2312" w:eastAsia="仿宋_GB2312" w:cs="仿宋_GB2312"/>
          <w:sz w:val="21"/>
          <w:szCs w:val="21"/>
          <w:lang w:eastAsia="zh-CN"/>
        </w:rPr>
        <w:t>款。</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zh-TW" w:eastAsia="zh-TW"/>
        </w:rPr>
        <w:t>付款方式：（A、B、C乙方均认可）方式支付分包人</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zh-TW" w:eastAsia="zh-TW"/>
        </w:rPr>
        <w:t>A、电汇；</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zh-TW" w:eastAsia="zh-TW"/>
        </w:rPr>
        <w:t>B、银行承兑汇票或建行E信通、民生银行民信易链等银行供应链；</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lang w:val="zh-TW" w:eastAsia="zh-TW"/>
        </w:rPr>
        <w:t>、其它</w:t>
      </w:r>
    </w:p>
    <w:p>
      <w:pPr>
        <w:keepNext w:val="0"/>
        <w:keepLines w:val="0"/>
        <w:pageBreakBefore w:val="0"/>
        <w:kinsoku/>
        <w:wordWrap/>
        <w:overflowPunct/>
        <w:topLinePunct w:val="0"/>
        <w:bidi w:val="0"/>
        <w:snapToGrid w:val="0"/>
        <w:spacing w:line="520" w:lineRule="exact"/>
        <w:ind w:firstLine="600"/>
        <w:textAlignment w:val="auto"/>
        <w:rPr>
          <w:rFonts w:hint="default"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zh-TW" w:eastAsia="zh-TW"/>
        </w:rPr>
        <w:t>（银行承兑汇票期限为6个月，承包人付至分包人后，全部费用由分包人承担。</w:t>
      </w:r>
      <w:r>
        <w:rPr>
          <w:rFonts w:hint="eastAsia" w:ascii="仿宋_GB2312" w:hAnsi="仿宋_GB2312" w:eastAsia="仿宋_GB2312" w:cs="仿宋_GB2312"/>
          <w:sz w:val="21"/>
          <w:szCs w:val="21"/>
          <w:lang w:val="en-US" w:eastAsia="zh-CN"/>
        </w:rPr>
        <w:t>供应链签发期为12—24个月，乙方承担至少12个月的提前变现贴现息。）</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乙方指定账户信息：</w:t>
      </w:r>
    </w:p>
    <w:p>
      <w:pPr>
        <w:keepNext w:val="0"/>
        <w:keepLines w:val="0"/>
        <w:pageBreakBefore w:val="0"/>
        <w:widowControl w:val="0"/>
        <w:kinsoku/>
        <w:wordWrap/>
        <w:overflowPunct/>
        <w:topLinePunct w:val="0"/>
        <w:autoSpaceDE/>
        <w:autoSpaceDN/>
        <w:bidi w:val="0"/>
        <w:adjustRightInd/>
        <w:snapToGrid w:val="0"/>
        <w:spacing w:line="520" w:lineRule="exact"/>
        <w:ind w:firstLine="630" w:firstLineChars="3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开户名称：</w:t>
      </w:r>
    </w:p>
    <w:p>
      <w:pPr>
        <w:keepNext w:val="0"/>
        <w:keepLines w:val="0"/>
        <w:pageBreakBefore w:val="0"/>
        <w:widowControl w:val="0"/>
        <w:kinsoku/>
        <w:wordWrap/>
        <w:overflowPunct/>
        <w:topLinePunct w:val="0"/>
        <w:autoSpaceDE/>
        <w:autoSpaceDN/>
        <w:bidi w:val="0"/>
        <w:adjustRightInd/>
        <w:snapToGrid w:val="0"/>
        <w:spacing w:line="520" w:lineRule="exact"/>
        <w:ind w:firstLine="630" w:firstLineChars="3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w:t>
      </w:r>
    </w:p>
    <w:p>
      <w:pPr>
        <w:keepNext w:val="0"/>
        <w:keepLines w:val="0"/>
        <w:pageBreakBefore w:val="0"/>
        <w:widowControl w:val="0"/>
        <w:kinsoku/>
        <w:wordWrap/>
        <w:overflowPunct/>
        <w:topLinePunct w:val="0"/>
        <w:autoSpaceDE/>
        <w:autoSpaceDN/>
        <w:bidi w:val="0"/>
        <w:adjustRightInd/>
        <w:snapToGrid w:val="0"/>
        <w:spacing w:line="520" w:lineRule="exact"/>
        <w:ind w:firstLine="630" w:firstLineChars="3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    号：</w:t>
      </w:r>
    </w:p>
    <w:p>
      <w:pPr>
        <w:keepNext w:val="0"/>
        <w:keepLines w:val="0"/>
        <w:pageBreakBefore w:val="0"/>
        <w:kinsoku/>
        <w:wordWrap/>
        <w:overflowPunct/>
        <w:topLinePunct w:val="0"/>
        <w:bidi w:val="0"/>
        <w:snapToGrid w:val="0"/>
        <w:spacing w:line="520" w:lineRule="exact"/>
        <w:ind w:firstLine="630" w:firstLineChars="3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银行行号：</w:t>
      </w:r>
    </w:p>
    <w:p>
      <w:pPr>
        <w:keepNext w:val="0"/>
        <w:keepLines w:val="0"/>
        <w:pageBreakBefore w:val="0"/>
        <w:kinsoku/>
        <w:wordWrap/>
        <w:overflowPunct/>
        <w:topLinePunct w:val="0"/>
        <w:bidi w:val="0"/>
        <w:snapToGrid w:val="0"/>
        <w:spacing w:line="520" w:lineRule="exact"/>
        <w:ind w:firstLine="56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4.预付货款：</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u w:val="single"/>
          <w:lang w:val="en-US" w:eastAsia="zh-CN"/>
        </w:rPr>
        <w:t>350万元</w:t>
      </w:r>
      <w:r>
        <w:rPr>
          <w:rFonts w:hint="eastAsia" w:ascii="仿宋_GB2312" w:hAnsi="仿宋_GB2312" w:eastAsia="仿宋_GB2312" w:cs="仿宋_GB2312"/>
          <w:color w:val="auto"/>
          <w:sz w:val="21"/>
          <w:szCs w:val="21"/>
          <w:u w:val="single"/>
        </w:rPr>
        <w:t>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56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 发票的开具</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货款支付前乙方须先开具</w:t>
      </w:r>
      <w:r>
        <w:rPr>
          <w:rFonts w:hint="eastAsia" w:ascii="仿宋_GB2312" w:hAnsi="仿宋_GB2312" w:eastAsia="仿宋_GB2312" w:cs="仿宋_GB2312"/>
          <w:color w:val="000000"/>
          <w:sz w:val="21"/>
          <w:szCs w:val="21"/>
          <w:u w:val="single" w:color="auto"/>
          <w:lang w:val="en-US" w:eastAsia="zh-CN"/>
        </w:rPr>
        <w:t>与</w:t>
      </w:r>
      <w:r>
        <w:rPr>
          <w:rFonts w:hint="eastAsia" w:ascii="仿宋_GB2312" w:hAnsi="仿宋_GB2312" w:eastAsia="仿宋_GB2312" w:cs="仿宋_GB2312"/>
          <w:color w:val="000000"/>
          <w:sz w:val="21"/>
          <w:szCs w:val="21"/>
          <w:u w:val="single" w:color="auto"/>
          <w:lang w:val="zh-CN"/>
        </w:rPr>
        <w:t>结算金额相等</w:t>
      </w:r>
      <w:r>
        <w:rPr>
          <w:rFonts w:hint="eastAsia" w:ascii="仿宋_GB2312" w:hAnsi="仿宋_GB2312" w:eastAsia="仿宋_GB2312" w:cs="仿宋_GB2312"/>
          <w:color w:val="auto"/>
          <w:sz w:val="21"/>
          <w:szCs w:val="21"/>
        </w:rPr>
        <w:t>的增值税</w:t>
      </w:r>
      <w:r>
        <w:rPr>
          <w:rFonts w:hint="eastAsia" w:ascii="仿宋_GB2312" w:hAnsi="仿宋_GB2312" w:eastAsia="仿宋_GB2312" w:cs="仿宋_GB2312"/>
          <w:color w:val="auto"/>
          <w:sz w:val="21"/>
          <w:szCs w:val="21"/>
          <w:lang w:val="en-US" w:eastAsia="zh-CN"/>
        </w:rPr>
        <w:t>专用</w:t>
      </w:r>
      <w:r>
        <w:rPr>
          <w:rFonts w:hint="eastAsia" w:ascii="仿宋_GB2312" w:hAnsi="仿宋_GB2312" w:eastAsia="仿宋_GB2312" w:cs="仿宋_GB2312"/>
          <w:color w:val="auto"/>
          <w:sz w:val="21"/>
          <w:szCs w:val="21"/>
        </w:rPr>
        <w:t>发票</w:t>
      </w:r>
      <w:r>
        <w:rPr>
          <w:rFonts w:hint="eastAsia" w:ascii="仿宋_GB2312" w:hAnsi="仿宋_GB2312" w:eastAsia="仿宋_GB2312" w:cs="仿宋_GB2312"/>
          <w:color w:val="auto"/>
          <w:sz w:val="21"/>
          <w:szCs w:val="21"/>
          <w:lang w:val="en-US" w:eastAsia="zh-CN"/>
        </w:rPr>
        <w:t>和收据</w:t>
      </w:r>
      <w:r>
        <w:rPr>
          <w:rFonts w:hint="eastAsia" w:ascii="仿宋_GB2312" w:hAnsi="仿宋_GB2312" w:eastAsia="仿宋_GB2312" w:cs="仿宋_GB2312"/>
          <w:color w:val="auto"/>
          <w:sz w:val="21"/>
          <w:szCs w:val="21"/>
        </w:rPr>
        <w:t>给甲方</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sz w:val="21"/>
          <w:szCs w:val="21"/>
        </w:rPr>
        <w:t>若乙方开具的发票不符合甲方要求，</w:t>
      </w:r>
      <w:r>
        <w:rPr>
          <w:rFonts w:hint="eastAsia" w:ascii="仿宋_GB2312" w:hAnsi="仿宋_GB2312" w:eastAsia="仿宋_GB2312" w:cs="仿宋_GB2312"/>
          <w:color w:val="auto"/>
          <w:sz w:val="21"/>
          <w:szCs w:val="21"/>
          <w:lang w:val="en-US" w:eastAsia="zh-CN"/>
        </w:rPr>
        <w:t>否则甲方有权延迟付款，并且不承担延期付款责任。</w:t>
      </w:r>
      <w:r>
        <w:rPr>
          <w:rFonts w:hint="eastAsia" w:ascii="仿宋_GB2312" w:hAnsi="仿宋_GB2312" w:eastAsia="仿宋_GB2312" w:cs="仿宋_GB2312"/>
          <w:sz w:val="21"/>
          <w:szCs w:val="21"/>
          <w:lang w:val="en-US" w:eastAsia="zh-CN"/>
        </w:rPr>
        <w:t>如遇国家税收相关法律政策调整，则乙方按国家最新政策要求的适用税率向甲方开具增值税专用发票，</w:t>
      </w:r>
      <w:r>
        <w:rPr>
          <w:rFonts w:hint="eastAsia" w:ascii="仿宋_GB2312" w:hAnsi="仿宋_GB2312" w:eastAsia="仿宋_GB2312" w:cs="仿宋_GB2312"/>
          <w:sz w:val="21"/>
          <w:szCs w:val="21"/>
          <w:lang w:val="zh-CN" w:eastAsia="zh-CN"/>
        </w:rPr>
        <w:t>变化风险由乙方承担。（</w:t>
      </w:r>
      <w:r>
        <w:rPr>
          <w:rFonts w:hint="eastAsia" w:ascii="仿宋_GB2312" w:hAnsi="仿宋_GB2312" w:eastAsia="仿宋_GB2312" w:cs="仿宋_GB2312"/>
          <w:sz w:val="21"/>
          <w:szCs w:val="21"/>
          <w:lang w:val="en-US" w:eastAsia="zh-CN"/>
        </w:rPr>
        <w:t>若税率升高，则合同含税总价不变，税费增加的风险由乙方承担；若税率降低，则合同不含税单价不变，合同含税总价对应调整。</w:t>
      </w:r>
      <w:r>
        <w:rPr>
          <w:rFonts w:hint="eastAsia" w:ascii="仿宋_GB2312" w:hAnsi="仿宋_GB2312" w:eastAsia="仿宋_GB2312" w:cs="仿宋_GB2312"/>
          <w:sz w:val="21"/>
          <w:szCs w:val="21"/>
          <w:lang w:val="zh-CN" w:eastAsia="zh-CN"/>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sz w:val="21"/>
          <w:szCs w:val="21"/>
          <w:lang w:val="zh-TW" w:eastAsia="zh-TW"/>
        </w:rPr>
        <w:t>乙方</w:t>
      </w:r>
      <w:r>
        <w:rPr>
          <w:rFonts w:hint="eastAsia" w:ascii="仿宋_GB2312" w:hAnsi="仿宋_GB2312" w:eastAsia="仿宋_GB2312" w:cs="仿宋_GB2312"/>
          <w:sz w:val="21"/>
          <w:szCs w:val="21"/>
          <w:lang w:val="zh-CN" w:eastAsia="zh-CN"/>
        </w:rPr>
        <w:t>保证</w:t>
      </w:r>
      <w:r>
        <w:rPr>
          <w:rFonts w:hint="eastAsia" w:ascii="仿宋_GB2312" w:hAnsi="仿宋_GB2312" w:eastAsia="仿宋_GB2312" w:cs="仿宋_GB2312"/>
          <w:sz w:val="21"/>
          <w:szCs w:val="21"/>
          <w:lang w:val="zh-TW" w:eastAsia="zh-TW"/>
        </w:rPr>
        <w:t>向甲方开具</w:t>
      </w:r>
      <w:r>
        <w:rPr>
          <w:rFonts w:hint="eastAsia" w:ascii="仿宋_GB2312" w:hAnsi="仿宋_GB2312" w:eastAsia="仿宋_GB2312" w:cs="仿宋_GB2312"/>
          <w:sz w:val="21"/>
          <w:szCs w:val="21"/>
          <w:lang w:val="zh-CN" w:eastAsia="zh-CN"/>
        </w:rPr>
        <w:t>真实、合法有效的</w:t>
      </w:r>
      <w:r>
        <w:rPr>
          <w:rFonts w:hint="eastAsia" w:ascii="仿宋_GB2312" w:hAnsi="仿宋_GB2312" w:eastAsia="仿宋_GB2312" w:cs="仿宋_GB2312"/>
          <w:sz w:val="21"/>
          <w:szCs w:val="21"/>
          <w:lang w:val="zh-TW" w:eastAsia="zh-TW"/>
        </w:rPr>
        <w:t>增值税</w:t>
      </w:r>
      <w:r>
        <w:rPr>
          <w:rFonts w:hint="eastAsia" w:ascii="仿宋_GB2312" w:hAnsi="仿宋_GB2312" w:eastAsia="仿宋_GB2312" w:cs="仿宋_GB2312"/>
          <w:sz w:val="21"/>
          <w:szCs w:val="21"/>
          <w:lang w:val="en-US" w:eastAsia="zh-CN"/>
        </w:rPr>
        <w:t>专用</w:t>
      </w:r>
      <w:r>
        <w:rPr>
          <w:rFonts w:hint="eastAsia" w:ascii="仿宋_GB2312" w:hAnsi="仿宋_GB2312" w:eastAsia="仿宋_GB2312" w:cs="仿宋_GB2312"/>
          <w:sz w:val="21"/>
          <w:szCs w:val="21"/>
          <w:lang w:val="zh-TW" w:eastAsia="zh-TW"/>
        </w:rPr>
        <w:t>发票。因乙方开具的发票不规范、不合法或涉嫌虚开发票引起税务问题的，乙方需依法向甲方重新开具发票，并</w:t>
      </w:r>
      <w:r>
        <w:rPr>
          <w:rFonts w:hint="eastAsia" w:ascii="仿宋_GB2312" w:hAnsi="仿宋_GB2312" w:eastAsia="仿宋_GB2312" w:cs="仿宋_GB2312"/>
          <w:sz w:val="21"/>
          <w:szCs w:val="21"/>
          <w:lang w:val="zh-CN" w:eastAsia="zh-CN"/>
        </w:rPr>
        <w:t>自行承担违法责任，因此造成甲方损失的，应</w:t>
      </w:r>
      <w:r>
        <w:rPr>
          <w:rFonts w:hint="eastAsia" w:ascii="仿宋_GB2312" w:hAnsi="仿宋_GB2312" w:eastAsia="仿宋_GB2312" w:cs="仿宋_GB2312"/>
          <w:sz w:val="21"/>
          <w:szCs w:val="21"/>
          <w:lang w:val="zh-TW" w:eastAsia="zh-TW"/>
        </w:rPr>
        <w:t>向甲方承担赔偿责任，包括但不限于税款、滞纳金、罚款及相关损失等。</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val="zh-TW" w:eastAsia="zh-TW"/>
        </w:rPr>
        <w:t>乙方应按照甲方要求，及时向甲方开具可以抵扣税款的增值税</w:t>
      </w:r>
      <w:r>
        <w:rPr>
          <w:rFonts w:hint="eastAsia" w:ascii="仿宋_GB2312" w:hAnsi="仿宋_GB2312" w:eastAsia="仿宋_GB2312" w:cs="仿宋_GB2312"/>
          <w:sz w:val="21"/>
          <w:szCs w:val="21"/>
          <w:lang w:val="en-US" w:eastAsia="zh-CN"/>
        </w:rPr>
        <w:t>专用</w:t>
      </w:r>
      <w:r>
        <w:rPr>
          <w:rFonts w:hint="eastAsia" w:ascii="仿宋_GB2312" w:hAnsi="仿宋_GB2312" w:eastAsia="仿宋_GB2312" w:cs="仿宋_GB2312"/>
          <w:sz w:val="21"/>
          <w:szCs w:val="21"/>
          <w:lang w:val="zh-TW" w:eastAsia="zh-TW"/>
        </w:rPr>
        <w:t>发票。因乙方开具发票不及时给甲方造成无法及时认证、抵扣发票等情形的，乙方需向甲方承担赔偿责任，包括但不限于税款、滞纳金、罚款及相关损失等。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（4）甲方</w:t>
      </w:r>
      <w:r>
        <w:rPr>
          <w:rFonts w:hint="eastAsia" w:ascii="仿宋_GB2312" w:hAnsi="仿宋_GB2312" w:eastAsia="仿宋_GB2312" w:cs="仿宋_GB2312"/>
          <w:sz w:val="21"/>
          <w:szCs w:val="21"/>
          <w:lang w:val="zh-TW" w:eastAsia="zh-TW"/>
        </w:rPr>
        <w:t>如丢失增值税用</w:t>
      </w:r>
      <w:r>
        <w:rPr>
          <w:rFonts w:hint="eastAsia" w:ascii="仿宋_GB2312" w:hAnsi="仿宋_GB2312" w:eastAsia="仿宋_GB2312" w:cs="仿宋_GB2312"/>
          <w:sz w:val="21"/>
          <w:szCs w:val="21"/>
          <w:lang w:val="en-US" w:eastAsia="zh-CN"/>
        </w:rPr>
        <w:t>专用</w:t>
      </w:r>
      <w:r>
        <w:rPr>
          <w:rFonts w:hint="eastAsia" w:ascii="仿宋_GB2312" w:hAnsi="仿宋_GB2312" w:eastAsia="仿宋_GB2312" w:cs="仿宋_GB2312"/>
          <w:sz w:val="21"/>
          <w:szCs w:val="21"/>
          <w:lang w:val="zh-TW" w:eastAsia="zh-TW"/>
        </w:rPr>
        <w:t>发票，</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lang w:val="zh-TW" w:eastAsia="zh-TW"/>
        </w:rPr>
        <w:t>方有义务提供专用发票记账联复印件及其主管税务机关出具的《丢失增值税专用发票已报税证明单》等材料</w:t>
      </w:r>
      <w:r>
        <w:rPr>
          <w:rFonts w:hint="eastAsia" w:ascii="仿宋_GB2312" w:hAnsi="仿宋_GB2312" w:eastAsia="仿宋_GB2312" w:cs="仿宋_GB2312"/>
          <w:sz w:val="21"/>
          <w:szCs w:val="21"/>
          <w:lang w:val="zh-TW" w:eastAsia="zh-CN"/>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 xml:space="preserve"> 发票开具信息</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税率13%</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乙方发票开具</w:t>
      </w:r>
      <w:r>
        <w:rPr>
          <w:rFonts w:hint="eastAsia" w:ascii="仿宋_GB2312" w:hAnsi="仿宋_GB2312" w:eastAsia="仿宋_GB2312" w:cs="仿宋_GB2312"/>
          <w:color w:val="auto"/>
          <w:sz w:val="21"/>
          <w:szCs w:val="21"/>
          <w:lang w:val="en-US" w:eastAsia="zh-CN"/>
        </w:rPr>
        <w:t>发票</w:t>
      </w:r>
      <w:r>
        <w:rPr>
          <w:rFonts w:hint="eastAsia" w:ascii="仿宋_GB2312" w:hAnsi="仿宋_GB2312" w:eastAsia="仿宋_GB2312" w:cs="仿宋_GB2312"/>
          <w:color w:val="auto"/>
          <w:sz w:val="21"/>
          <w:szCs w:val="21"/>
        </w:rPr>
        <w:t>信息如下，否则甲方可以拒收。</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名称：</w:t>
      </w:r>
      <w:r>
        <w:rPr>
          <w:rFonts w:hint="eastAsia" w:ascii="仿宋_GB2312" w:hAnsi="仿宋_GB2312" w:eastAsia="仿宋_GB2312" w:cs="仿宋_GB2312"/>
          <w:color w:val="auto"/>
          <w:sz w:val="21"/>
          <w:szCs w:val="21"/>
          <w:lang w:val="en-US" w:eastAsia="zh-CN"/>
        </w:rPr>
        <w:t>中国地质工程集团有限公司</w:t>
      </w:r>
      <w:r>
        <w:rPr>
          <w:rFonts w:hint="eastAsia" w:ascii="仿宋_GB2312" w:hAnsi="仿宋_GB2312" w:eastAsia="仿宋_GB2312" w:cs="仿宋_GB2312"/>
          <w:color w:val="auto"/>
          <w:sz w:val="21"/>
          <w:szCs w:val="21"/>
        </w:rPr>
        <w:t>；</w:t>
      </w:r>
    </w:p>
    <w:p>
      <w:pPr>
        <w:pStyle w:val="11"/>
        <w:keepNext w:val="0"/>
        <w:keepLines w:val="0"/>
        <w:pageBreakBefore w:val="0"/>
        <w:kinsoku/>
        <w:wordWrap/>
        <w:overflowPunct/>
        <w:topLinePunct w:val="0"/>
        <w:bidi w:val="0"/>
        <w:spacing w:line="5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纳税人识别号：</w:t>
      </w:r>
      <w:r>
        <w:rPr>
          <w:rFonts w:hint="eastAsia" w:ascii="仿宋_GB2312" w:hAnsi="仿宋_GB2312" w:eastAsia="仿宋_GB2312" w:cs="仿宋_GB2312"/>
          <w:color w:val="auto"/>
          <w:sz w:val="21"/>
          <w:szCs w:val="21"/>
          <w:lang w:val="en-US" w:eastAsia="zh-CN"/>
        </w:rPr>
        <w:t>911100001000009805</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注册地址：</w:t>
      </w:r>
      <w:r>
        <w:rPr>
          <w:rFonts w:hint="eastAsia" w:ascii="仿宋_GB2312" w:hAnsi="仿宋_GB2312" w:eastAsia="仿宋_GB2312" w:cs="仿宋_GB2312"/>
          <w:color w:val="auto"/>
          <w:sz w:val="21"/>
          <w:szCs w:val="21"/>
          <w:lang w:val="en-US" w:eastAsia="zh-CN"/>
        </w:rPr>
        <w:t>北京市海淀区香山南路92号院2号楼</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电话：</w:t>
      </w:r>
      <w:r>
        <w:rPr>
          <w:rFonts w:hint="eastAsia" w:ascii="仿宋_GB2312" w:hAnsi="仿宋_GB2312" w:eastAsia="仿宋_GB2312" w:cs="仿宋_GB2312"/>
          <w:color w:val="auto"/>
          <w:sz w:val="21"/>
          <w:szCs w:val="21"/>
          <w:lang w:val="en-US" w:eastAsia="zh-CN"/>
        </w:rPr>
        <w:t>010</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82408536</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开户银行：</w:t>
      </w:r>
      <w:r>
        <w:rPr>
          <w:rFonts w:hint="eastAsia" w:ascii="仿宋_GB2312" w:hAnsi="仿宋_GB2312" w:eastAsia="仿宋_GB2312" w:cs="仿宋_GB2312"/>
          <w:color w:val="auto"/>
          <w:sz w:val="21"/>
          <w:szCs w:val="21"/>
          <w:lang w:val="en-US" w:eastAsia="zh-CN"/>
        </w:rPr>
        <w:t>上海浦东发展银行北京知春路支行</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—银行账号：</w:t>
      </w:r>
      <w:r>
        <w:rPr>
          <w:rFonts w:hint="eastAsia" w:ascii="仿宋_GB2312" w:hAnsi="仿宋_GB2312" w:eastAsia="仿宋_GB2312" w:cs="仿宋_GB2312"/>
          <w:color w:val="auto"/>
          <w:sz w:val="21"/>
          <w:szCs w:val="21"/>
          <w:lang w:val="en-US" w:eastAsia="zh-CN"/>
        </w:rPr>
        <w:t>8894080001462</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第七条　提出异议的时间和方法</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1.甲方在验收中如发现货物的品种、型号、规格</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和质量等不符合规定，应在妥善保管货物的同时，自收到货物后</w:t>
      </w:r>
      <w:r>
        <w:rPr>
          <w:rFonts w:hint="eastAsia" w:ascii="仿宋_GB2312" w:hAnsi="仿宋_GB2312" w:eastAsia="仿宋_GB2312" w:cs="仿宋_GB2312"/>
          <w:color w:val="auto"/>
          <w:sz w:val="21"/>
          <w:szCs w:val="21"/>
          <w:u w:val="single"/>
        </w:rPr>
        <w:t xml:space="preserve">   10  </w:t>
      </w:r>
      <w:r>
        <w:rPr>
          <w:rFonts w:hint="eastAsia" w:ascii="仿宋_GB2312" w:hAnsi="仿宋_GB2312" w:eastAsia="仿宋_GB2312" w:cs="仿宋_GB2312"/>
          <w:color w:val="auto"/>
          <w:sz w:val="21"/>
          <w:szCs w:val="21"/>
        </w:rPr>
        <w:t>日内向乙方提出书面异议；在异议期间，甲方有权拒付不符合合同规定部分的货款。甲方未及时提出异议或者自收到货物之日起</w:t>
      </w:r>
      <w:r>
        <w:rPr>
          <w:rFonts w:hint="eastAsia" w:ascii="仿宋_GB2312" w:hAnsi="仿宋_GB2312" w:eastAsia="仿宋_GB2312" w:cs="仿宋_GB2312"/>
          <w:color w:val="auto"/>
          <w:sz w:val="21"/>
          <w:szCs w:val="21"/>
          <w:u w:val="single"/>
        </w:rPr>
        <w:t>   10   </w:t>
      </w:r>
      <w:r>
        <w:rPr>
          <w:rFonts w:hint="eastAsia" w:ascii="仿宋_GB2312" w:hAnsi="仿宋_GB2312" w:eastAsia="仿宋_GB2312" w:cs="仿宋_GB2312"/>
          <w:color w:val="auto"/>
          <w:sz w:val="21"/>
          <w:szCs w:val="21"/>
        </w:rPr>
        <w:t>日内未通知乙方的，视为货物符合约定。</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如有数量异议，应在收货时当场提出。双方同意送至双方共同认可的机构进行复验。若磅差在千分之三以内，则以过磅的数量为准且复检费用及由此产生的一切费用由提出方承担；若磅差在千分之三以外，则以该机构的复验结果为准且过磅费用及由此产生的一切费用由责任方承担。</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2.乙方在接到甲方书面异议后，应在</w:t>
      </w:r>
      <w:r>
        <w:rPr>
          <w:rFonts w:hint="eastAsia" w:ascii="仿宋_GB2312" w:hAnsi="仿宋_GB2312" w:eastAsia="仿宋_GB2312" w:cs="仿宋_GB2312"/>
          <w:color w:val="auto"/>
          <w:sz w:val="21"/>
          <w:szCs w:val="21"/>
          <w:u w:val="single"/>
        </w:rPr>
        <w:t xml:space="preserve">   3  </w:t>
      </w:r>
      <w:r>
        <w:rPr>
          <w:rFonts w:hint="eastAsia" w:ascii="仿宋_GB2312" w:hAnsi="仿宋_GB2312" w:eastAsia="仿宋_GB2312" w:cs="仿宋_GB2312"/>
          <w:color w:val="auto"/>
          <w:sz w:val="21"/>
          <w:szCs w:val="21"/>
        </w:rPr>
        <w:t>日内负责处理并通知甲方处理情况，否则，即视为默认甲方提出的异议和处理意见。</w:t>
      </w: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第八条  安全环保</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乙方负责货物的安全运输，如在运输中因包装、捆扎不善造成损坏、丢失等均由乙方负责免费更换;</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运输过程中避免汽车油的泄露和废油棉纱的丢弃造成的环境污染；拆卸的设备包装物不能随意抛弃，要集中收集处理。</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w:t>
      </w:r>
      <w:r>
        <w:rPr>
          <w:rFonts w:hint="eastAsia" w:ascii="仿宋_GB2312" w:hAnsi="仿宋_GB2312" w:eastAsia="仿宋_GB2312" w:cs="仿宋_GB2312"/>
          <w:b/>
          <w:color w:val="auto"/>
          <w:sz w:val="21"/>
          <w:szCs w:val="21"/>
          <w:lang w:val="en-US" w:eastAsia="zh-CN"/>
        </w:rPr>
        <w:t>九</w:t>
      </w:r>
      <w:r>
        <w:rPr>
          <w:rFonts w:hint="eastAsia" w:ascii="仿宋_GB2312" w:hAnsi="仿宋_GB2312" w:eastAsia="仿宋_GB2312" w:cs="仿宋_GB2312"/>
          <w:b/>
          <w:color w:val="auto"/>
          <w:sz w:val="21"/>
          <w:szCs w:val="21"/>
        </w:rPr>
        <w:t>条　甲方违约责任</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1.甲方无正当理由提前终止合同的，应承担由此给乙方造成损失。</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2.甲方无故拒绝接收货物，应当赔偿乙方因此造成的损失。</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3.甲方如错填到货的地点、接货人，或对乙方提出错误异议，应承担乙方因此所受到的实际损失。</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.其它约定：</w:t>
      </w:r>
      <w:r>
        <w:rPr>
          <w:rFonts w:hint="eastAsia" w:ascii="仿宋_GB2312" w:hAnsi="仿宋_GB2312" w:eastAsia="仿宋_GB2312" w:cs="仿宋_GB2312"/>
          <w:color w:val="auto"/>
          <w:sz w:val="21"/>
          <w:szCs w:val="21"/>
          <w:u w:val="single"/>
        </w:rPr>
        <w:t>    无   </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第十条　乙方的违约责任</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1.乙方不能交货的，向甲方偿付不能交货部分货款</w:t>
      </w:r>
      <w:r>
        <w:rPr>
          <w:rFonts w:hint="eastAsia" w:ascii="仿宋_GB2312" w:hAnsi="仿宋_GB2312" w:eastAsia="仿宋_GB2312" w:cs="仿宋_GB2312"/>
          <w:color w:val="auto"/>
          <w:sz w:val="21"/>
          <w:szCs w:val="21"/>
          <w:u w:val="single"/>
        </w:rPr>
        <w:t>1‰</w:t>
      </w:r>
      <w:r>
        <w:rPr>
          <w:rFonts w:hint="eastAsia" w:ascii="仿宋_GB2312" w:hAnsi="仿宋_GB2312" w:eastAsia="仿宋_GB2312" w:cs="仿宋_GB2312"/>
          <w:color w:val="auto"/>
          <w:sz w:val="21"/>
          <w:szCs w:val="21"/>
        </w:rPr>
        <w:t>的违约金。</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2.乙方所交货物品种、型号、规格、花色、质量等不符合同规定的，如甲方同意接收使用</w:t>
      </w:r>
      <w:r>
        <w:rPr>
          <w:rFonts w:hint="eastAsia" w:ascii="仿宋_GB2312" w:hAnsi="仿宋_GB2312" w:eastAsia="仿宋_GB2312" w:cs="仿宋_GB2312"/>
          <w:color w:val="auto"/>
          <w:sz w:val="21"/>
          <w:szCs w:val="21"/>
          <w:lang w:eastAsia="zh-CN"/>
        </w:rPr>
        <w:t>的</w:t>
      </w:r>
      <w:r>
        <w:rPr>
          <w:rFonts w:hint="eastAsia" w:ascii="仿宋_GB2312" w:hAnsi="仿宋_GB2312" w:eastAsia="仿宋_GB2312" w:cs="仿宋_GB2312"/>
          <w:color w:val="auto"/>
          <w:sz w:val="21"/>
          <w:szCs w:val="21"/>
        </w:rPr>
        <w:t>，应按</w:t>
      </w:r>
      <w:r>
        <w:rPr>
          <w:rFonts w:hint="eastAsia" w:ascii="仿宋_GB2312" w:hAnsi="仿宋_GB2312" w:eastAsia="仿宋_GB2312" w:cs="仿宋_GB2312"/>
          <w:color w:val="auto"/>
          <w:sz w:val="21"/>
          <w:szCs w:val="21"/>
          <w:lang w:eastAsia="zh-CN"/>
        </w:rPr>
        <w:t>乙方实际所交货物的相应网价确定结算价中的</w:t>
      </w:r>
      <w:r>
        <w:rPr>
          <w:rFonts w:hint="eastAsia" w:ascii="仿宋_GB2312" w:hAnsi="仿宋_GB2312" w:eastAsia="仿宋_GB2312" w:cs="仿宋_GB2312"/>
          <w:color w:val="auto"/>
          <w:sz w:val="21"/>
          <w:szCs w:val="21"/>
          <w:lang w:val="en-US" w:eastAsia="zh-CN"/>
        </w:rPr>
        <w:t>B部分；</w:t>
      </w:r>
      <w:r>
        <w:rPr>
          <w:rFonts w:hint="eastAsia" w:ascii="仿宋_GB2312" w:hAnsi="仿宋_GB2312" w:eastAsia="仿宋_GB2312" w:cs="仿宋_GB2312"/>
          <w:color w:val="auto"/>
          <w:sz w:val="21"/>
          <w:szCs w:val="21"/>
        </w:rPr>
        <w:t>甲方不接收使用的，应根据具体情况，由乙方负责包换或包修，并承担修理、调换或退货而支付的实际费用。</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4.乙方逾期交货的，应按照逾期交货金额每日</w:t>
      </w:r>
      <w:r>
        <w:rPr>
          <w:rFonts w:hint="eastAsia" w:ascii="仿宋_GB2312" w:hAnsi="仿宋_GB2312" w:eastAsia="仿宋_GB2312" w:cs="仿宋_GB2312"/>
          <w:color w:val="auto"/>
          <w:sz w:val="21"/>
          <w:szCs w:val="21"/>
          <w:u w:val="single"/>
        </w:rPr>
        <w:t>0.5‰</w:t>
      </w:r>
      <w:r>
        <w:rPr>
          <w:rFonts w:hint="eastAsia" w:ascii="仿宋_GB2312" w:hAnsi="仿宋_GB2312" w:eastAsia="仿宋_GB2312" w:cs="仿宋_GB2312"/>
          <w:color w:val="auto"/>
          <w:sz w:val="21"/>
          <w:szCs w:val="21"/>
        </w:rPr>
        <w:t xml:space="preserve"> 计算，向甲方支付逾期交货的违约金，并赔偿甲方因此所遭受的损失。如逾期超过 </w:t>
      </w:r>
      <w:r>
        <w:rPr>
          <w:rFonts w:hint="eastAsia" w:ascii="仿宋_GB2312" w:hAnsi="仿宋_GB2312" w:eastAsia="仿宋_GB2312" w:cs="仿宋_GB2312"/>
          <w:color w:val="auto"/>
          <w:sz w:val="21"/>
          <w:szCs w:val="21"/>
          <w:u w:val="single"/>
        </w:rPr>
        <w:t xml:space="preserve">   5  </w:t>
      </w:r>
      <w:r>
        <w:rPr>
          <w:rFonts w:hint="eastAsia" w:ascii="仿宋_GB2312" w:hAnsi="仿宋_GB2312" w:eastAsia="仿宋_GB2312" w:cs="仿宋_GB2312"/>
          <w:color w:val="auto"/>
          <w:sz w:val="21"/>
          <w:szCs w:val="21"/>
        </w:rPr>
        <w:t>日，甲方有权终止合同并可就遭受的损失向乙方提出赔偿。</w:t>
      </w:r>
      <w:r>
        <w:rPr>
          <w:rFonts w:hint="eastAsia" w:ascii="仿宋_GB2312" w:hAnsi="仿宋_GB2312" w:eastAsia="仿宋_GB2312" w:cs="仿宋_GB2312"/>
          <w:color w:val="auto"/>
          <w:sz w:val="21"/>
          <w:szCs w:val="21"/>
          <w:lang w:eastAsia="zh-CN"/>
        </w:rPr>
        <w:t>乙方因钢厂缺货等客观原因造成难以按期交货提前通知甲方的，不属于违约，不用承担违约责任。</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5.乙方提前交的货物、多交的货物，或其品种、型号、规格、花色、质量等不符合规定的货物，甲方在代保管期间实际支付的保管、保养等费用以及非因甲方保管不善而发生的损失，均应由乙方承担。</w:t>
      </w:r>
      <w:r>
        <w:rPr>
          <w:rFonts w:hint="eastAsia" w:ascii="仿宋_GB2312" w:hAnsi="仿宋_GB2312" w:eastAsia="仿宋_GB2312" w:cs="仿宋_GB2312"/>
          <w:color w:val="auto"/>
          <w:sz w:val="21"/>
          <w:szCs w:val="21"/>
          <w:lang w:eastAsia="zh-CN"/>
        </w:rPr>
        <w:t>甲方同意接收和使用的除外。</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6.货物错发到货地点或接货人的，乙方除应负责运到合同规定的到货地点或接货人外，还应承担甲方因此多支付的实际合理费用和逾期交货的违约金</w:t>
      </w:r>
      <w:r>
        <w:rPr>
          <w:rFonts w:hint="eastAsia" w:ascii="仿宋_GB2312" w:hAnsi="仿宋_GB2312" w:eastAsia="仿宋_GB2312" w:cs="仿宋_GB2312"/>
          <w:color w:val="auto"/>
          <w:sz w:val="21"/>
          <w:szCs w:val="21"/>
          <w:lang w:eastAsia="zh-CN"/>
        </w:rPr>
        <w:t>（因甲方原因造成的除外）。</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w:t>
      </w:r>
      <w:r>
        <w:rPr>
          <w:rFonts w:hint="eastAsia" w:ascii="仿宋_GB2312" w:hAnsi="仿宋_GB2312" w:eastAsia="仿宋_GB2312" w:cs="仿宋_GB2312"/>
          <w:color w:val="auto"/>
          <w:sz w:val="21"/>
          <w:szCs w:val="21"/>
          <w:u w:val="single"/>
        </w:rPr>
        <w:t xml:space="preserve">    15  </w:t>
      </w:r>
      <w:r>
        <w:rPr>
          <w:rFonts w:hint="eastAsia" w:ascii="仿宋_GB2312" w:hAnsi="仿宋_GB2312" w:eastAsia="仿宋_GB2312" w:cs="仿宋_GB2312"/>
          <w:color w:val="auto"/>
          <w:sz w:val="21"/>
          <w:szCs w:val="21"/>
        </w:rPr>
        <w:t>日内通知乙方，办理解除合同手续，逾期不答复的，视为同意乙方发货。</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8.乙方未按本合同约定开具、送达或违反国家法律、法规、规章、政策等规定开具、提供增值税</w:t>
      </w:r>
      <w:r>
        <w:rPr>
          <w:rFonts w:hint="eastAsia" w:ascii="仿宋_GB2312" w:hAnsi="仿宋_GB2312" w:eastAsia="仿宋_GB2312" w:cs="仿宋_GB2312"/>
          <w:color w:val="auto"/>
          <w:sz w:val="21"/>
          <w:szCs w:val="21"/>
          <w:lang w:eastAsia="zh-CN"/>
        </w:rPr>
        <w:t>专用</w:t>
      </w:r>
      <w:r>
        <w:rPr>
          <w:rFonts w:hint="eastAsia" w:ascii="仿宋_GB2312" w:hAnsi="仿宋_GB2312" w:eastAsia="仿宋_GB2312" w:cs="仿宋_GB2312"/>
          <w:color w:val="auto"/>
          <w:sz w:val="21"/>
          <w:szCs w:val="21"/>
        </w:rPr>
        <w:t>发票、开具的增值税</w:t>
      </w:r>
      <w:r>
        <w:rPr>
          <w:rFonts w:hint="eastAsia" w:ascii="仿宋_GB2312" w:hAnsi="仿宋_GB2312" w:eastAsia="仿宋_GB2312" w:cs="仿宋_GB2312"/>
          <w:color w:val="auto"/>
          <w:sz w:val="21"/>
          <w:szCs w:val="21"/>
          <w:lang w:eastAsia="zh-CN"/>
        </w:rPr>
        <w:t>专用</w:t>
      </w:r>
      <w:r>
        <w:rPr>
          <w:rFonts w:hint="eastAsia" w:ascii="仿宋_GB2312" w:hAnsi="仿宋_GB2312" w:eastAsia="仿宋_GB2312" w:cs="仿宋_GB2312"/>
          <w:color w:val="auto"/>
          <w:sz w:val="21"/>
          <w:szCs w:val="21"/>
        </w:rPr>
        <w:t>发票丢失的，乙方应自行承担相应法律责任。</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第十</w:t>
      </w:r>
      <w:r>
        <w:rPr>
          <w:rFonts w:hint="eastAsia" w:ascii="仿宋_GB2312" w:hAnsi="仿宋_GB2312" w:eastAsia="仿宋_GB2312" w:cs="仿宋_GB2312"/>
          <w:b/>
          <w:color w:val="auto"/>
          <w:sz w:val="21"/>
          <w:szCs w:val="21"/>
          <w:lang w:val="en-US" w:eastAsia="zh-CN"/>
        </w:rPr>
        <w:t>一</w:t>
      </w:r>
      <w:r>
        <w:rPr>
          <w:rFonts w:hint="eastAsia" w:ascii="仿宋_GB2312" w:hAnsi="仿宋_GB2312" w:eastAsia="仿宋_GB2312" w:cs="仿宋_GB2312"/>
          <w:b/>
          <w:color w:val="auto"/>
          <w:sz w:val="21"/>
          <w:szCs w:val="21"/>
        </w:rPr>
        <w:t>条　不可抗力</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1.不可抗力的定义</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不可抗力”指超出本合同双方控制范围、无法预见、无法避免或无法克服、使得本合同一方部分或完全不能履行本合同的事件。这类事件包括但不限于地震、台风、洪水、火灾、战争、罢工、政府行为、法律规定或其适用的变化，或者其它任何无法预见、无法避免或者无法控制的客观情况。</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2.不可抗力的后果</w:t>
      </w:r>
    </w:p>
    <w:p>
      <w:pPr>
        <w:keepNext w:val="0"/>
        <w:keepLines w:val="0"/>
        <w:pageBreakBefore w:val="0"/>
        <w:kinsoku/>
        <w:wordWrap/>
        <w:overflowPunct/>
        <w:topLinePunct w:val="0"/>
        <w:bidi w:val="0"/>
        <w:snapToGrid w:val="0"/>
        <w:spacing w:line="520" w:lineRule="exact"/>
        <w:ind w:firstLine="420" w:firstLineChars="200"/>
        <w:textAlignment w:val="auto"/>
        <w:outlineLvl w:val="1"/>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⑴如果发生不可抗力事件，一方在本合同项下受不可抗力影响的义务在不可抗力造成的延误期间内自动中止，并且其履行期限应自动延长，延长期间为中止的期间，该方无须为此遭受惩罚或承担责任。</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⑵受不可抗力影响的一方应于不可抗力事件发生后及时书面通知另一方，并且在不可抗力事件发生后</w:t>
      </w:r>
      <w:r>
        <w:rPr>
          <w:rFonts w:hint="eastAsia" w:ascii="仿宋_GB2312" w:hAnsi="仿宋_GB2312" w:eastAsia="仿宋_GB2312" w:cs="仿宋_GB2312"/>
          <w:color w:val="auto"/>
          <w:sz w:val="21"/>
          <w:szCs w:val="21"/>
          <w:u w:val="single"/>
        </w:rPr>
        <w:t>3</w:t>
      </w:r>
      <w:r>
        <w:rPr>
          <w:rFonts w:hint="eastAsia" w:ascii="仿宋_GB2312" w:hAnsi="仿宋_GB2312" w:eastAsia="仿宋_GB2312" w:cs="仿宋_GB2312"/>
          <w:color w:val="auto"/>
          <w:sz w:val="21"/>
          <w:szCs w:val="21"/>
        </w:rPr>
        <w:t>日内向另一方提供政府部门或公证部门出具的不可抗力发生以及持续期间的充分证据。提出受不可抗力影响的一方还应尽一切合理努力使损失降低至最低限度。</w:t>
      </w:r>
    </w:p>
    <w:p>
      <w:pPr>
        <w:keepNext w:val="0"/>
        <w:keepLines w:val="0"/>
        <w:pageBreakBefore w:val="0"/>
        <w:kinsoku/>
        <w:wordWrap/>
        <w:overflowPunct/>
        <w:topLinePunct w:val="0"/>
        <w:bidi w:val="0"/>
        <w:snapToGrid w:val="0"/>
        <w:spacing w:line="520" w:lineRule="exact"/>
        <w:ind w:firstLine="6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⑶发生不可抗力时，双方应立即进行磋商，寻求公正解决方案，并且要尽一切合理努力使损失降低至最低限度。</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第十</w:t>
      </w:r>
      <w:r>
        <w:rPr>
          <w:rFonts w:hint="eastAsia" w:ascii="仿宋_GB2312" w:hAnsi="仿宋_GB2312" w:eastAsia="仿宋_GB2312" w:cs="仿宋_GB2312"/>
          <w:b/>
          <w:color w:val="auto"/>
          <w:sz w:val="21"/>
          <w:szCs w:val="21"/>
          <w:lang w:val="en-US" w:eastAsia="zh-CN"/>
        </w:rPr>
        <w:t>二</w:t>
      </w:r>
      <w:r>
        <w:rPr>
          <w:rFonts w:hint="eastAsia" w:ascii="仿宋_GB2312" w:hAnsi="仿宋_GB2312" w:eastAsia="仿宋_GB2312" w:cs="仿宋_GB2312"/>
          <w:b/>
          <w:color w:val="auto"/>
          <w:sz w:val="21"/>
          <w:szCs w:val="21"/>
        </w:rPr>
        <w:t>条　通知</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1.根据本合同需要发出的全部通知以及双方的文件往来及与本合同有关的通知和要求等，必须用书面形式，采用</w:t>
      </w:r>
      <w:r>
        <w:rPr>
          <w:rFonts w:hint="eastAsia" w:ascii="仿宋_GB2312" w:hAnsi="仿宋_GB2312" w:eastAsia="仿宋_GB2312" w:cs="仿宋_GB2312"/>
          <w:color w:val="auto"/>
          <w:sz w:val="21"/>
          <w:szCs w:val="21"/>
          <w:u w:val="single"/>
        </w:rPr>
        <w:t>书信、</w:t>
      </w:r>
      <w:r>
        <w:rPr>
          <w:rFonts w:hint="eastAsia" w:ascii="仿宋_GB2312" w:hAnsi="仿宋_GB2312" w:eastAsia="仿宋_GB2312" w:cs="仿宋_GB2312"/>
          <w:color w:val="auto"/>
          <w:sz w:val="21"/>
          <w:szCs w:val="21"/>
          <w:u w:val="single"/>
          <w:lang w:val="en-US" w:eastAsia="zh-CN"/>
        </w:rPr>
        <w:t>短信、</w:t>
      </w:r>
      <w:r>
        <w:rPr>
          <w:rFonts w:hint="eastAsia" w:ascii="仿宋_GB2312" w:hAnsi="仿宋_GB2312" w:eastAsia="仿宋_GB2312" w:cs="仿宋_GB2312"/>
          <w:color w:val="auto"/>
          <w:sz w:val="21"/>
          <w:szCs w:val="21"/>
          <w:u w:val="single"/>
        </w:rPr>
        <w:t>当面送交等方式</w:t>
      </w:r>
      <w:r>
        <w:rPr>
          <w:rFonts w:hint="eastAsia" w:ascii="仿宋_GB2312" w:hAnsi="仿宋_GB2312" w:eastAsia="仿宋_GB2312" w:cs="仿宋_GB2312"/>
          <w:color w:val="auto"/>
          <w:sz w:val="21"/>
          <w:szCs w:val="21"/>
        </w:rPr>
        <w:t>传递。以上方式无法送达的，方可采取公告送达的方式。</w:t>
      </w:r>
    </w:p>
    <w:p>
      <w:pPr>
        <w:keepNext w:val="0"/>
        <w:keepLines w:val="0"/>
        <w:pageBreakBefore w:val="0"/>
        <w:kinsoku/>
        <w:wordWrap/>
        <w:overflowPunct/>
        <w:topLinePunct w:val="0"/>
        <w:bidi w:val="0"/>
        <w:snapToGrid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 双方任何一方的名称、住所、税务登记、账户等重要信息变更，应提前10日以书面形式告知对方。如一方未按照要求履行告知义务致使另一方遭受损失的，由未通知方承担由此而引起的相应责任。</w:t>
      </w: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第十</w:t>
      </w:r>
      <w:r>
        <w:rPr>
          <w:rFonts w:hint="eastAsia" w:ascii="仿宋_GB2312" w:hAnsi="仿宋_GB2312" w:eastAsia="仿宋_GB2312" w:cs="仿宋_GB2312"/>
          <w:b/>
          <w:color w:val="auto"/>
          <w:sz w:val="21"/>
          <w:szCs w:val="21"/>
          <w:lang w:val="en-US" w:eastAsia="zh-CN"/>
        </w:rPr>
        <w:t>三</w:t>
      </w:r>
      <w:r>
        <w:rPr>
          <w:rFonts w:hint="eastAsia" w:ascii="仿宋_GB2312" w:hAnsi="仿宋_GB2312" w:eastAsia="仿宋_GB2312" w:cs="仿宋_GB2312"/>
          <w:b/>
          <w:color w:val="auto"/>
          <w:sz w:val="21"/>
          <w:szCs w:val="21"/>
        </w:rPr>
        <w:t>条　争议的处理</w:t>
      </w:r>
    </w:p>
    <w:p>
      <w:pPr>
        <w:keepNext w:val="0"/>
        <w:keepLines w:val="0"/>
        <w:pageBreakBefore w:val="0"/>
        <w:widowControl w:val="0"/>
        <w:kinsoku/>
        <w:wordWrap/>
        <w:overflowPunct/>
        <w:topLinePunct w:val="0"/>
        <w:autoSpaceDE/>
        <w:autoSpaceDN/>
        <w:bidi w:val="0"/>
        <w:adjustRightInd/>
        <w:spacing w:line="5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本合同在履行过程中引起、产生于本合同或与本合同有关的任何争议，由双方当事人通过友好协商解决。</w:t>
      </w:r>
      <w:r>
        <w:rPr>
          <w:rFonts w:hint="eastAsia" w:ascii="仿宋_GB2312" w:hAnsi="仿宋_GB2312" w:eastAsia="仿宋_GB2312" w:cs="仿宋_GB2312"/>
          <w:sz w:val="21"/>
          <w:szCs w:val="21"/>
        </w:rPr>
        <w:t>如双方就索赔或其他争议协商无法达成一致，可提交</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rPr>
        <w:t>解决。</w:t>
      </w:r>
    </w:p>
    <w:p>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①北京仲裁委员会仲裁</w:t>
      </w:r>
    </w:p>
    <w:p>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②甲方住所地有管辖权人民法院诉讼</w:t>
      </w:r>
    </w:p>
    <w:p>
      <w:pPr>
        <w:spacing w:line="360" w:lineRule="auto"/>
        <w:ind w:firstLine="310" w:firstLineChars="147"/>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lang w:val="en-US" w:eastAsia="zh-CN"/>
        </w:rPr>
        <w:t xml:space="preserve">第十四条  </w:t>
      </w:r>
      <w:r>
        <w:rPr>
          <w:rFonts w:hint="eastAsia" w:ascii="仿宋_GB2312" w:hAnsi="仿宋_GB2312" w:eastAsia="仿宋_GB2312" w:cs="仿宋_GB2312"/>
          <w:b/>
          <w:color w:val="auto"/>
          <w:sz w:val="21"/>
          <w:szCs w:val="21"/>
        </w:rPr>
        <w:t>合同解除</w:t>
      </w:r>
    </w:p>
    <w:p>
      <w:pPr>
        <w:keepNext w:val="0"/>
        <w:keepLines w:val="0"/>
        <w:pageBreakBefore w:val="0"/>
        <w:widowControl/>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1.乙方履行合同不符合要求并拒绝更正，或乙方迟延履行合同超过</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日的，甲方有权解除合同；</w:t>
      </w:r>
    </w:p>
    <w:p>
      <w:pPr>
        <w:keepNext w:val="0"/>
        <w:keepLines w:val="0"/>
        <w:pageBreakBefore w:val="0"/>
        <w:widowControl/>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2.甲方迟延付款超过</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日的，乙方有权解除合同；</w:t>
      </w:r>
    </w:p>
    <w:p>
      <w:pPr>
        <w:keepNext w:val="0"/>
        <w:keepLines w:val="0"/>
        <w:pageBreakBefore w:val="0"/>
        <w:widowControl/>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3.若乙方不能按合同约定的时间供应钢筋，甲方有权终止该合同。</w:t>
      </w:r>
    </w:p>
    <w:p>
      <w:pPr>
        <w:keepNext w:val="0"/>
        <w:keepLines w:val="0"/>
        <w:pageBreakBefore w:val="0"/>
        <w:widowControl/>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4.若乙方供应货物经检验不符合合同约定或者标准的，甲方有权随时终止合同。</w:t>
      </w:r>
    </w:p>
    <w:p>
      <w:pPr>
        <w:keepNext w:val="0"/>
        <w:keepLines w:val="0"/>
        <w:pageBreakBefore w:val="0"/>
        <w:widowControl/>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xml:space="preserve">5.因一方违约使合同不能履行，另一方欲终止或解除全部合同，应以书面形式通知违约方，解除合同从书面通知送达对方时生效。 </w:t>
      </w:r>
    </w:p>
    <w:p>
      <w:pPr>
        <w:keepNext w:val="0"/>
        <w:keepLines w:val="0"/>
        <w:pageBreakBefore w:val="0"/>
        <w:kinsoku/>
        <w:wordWrap/>
        <w:overflowPunct/>
        <w:topLinePunct w:val="0"/>
        <w:bidi w:val="0"/>
        <w:spacing w:line="520" w:lineRule="exact"/>
        <w:ind w:firstLine="422" w:firstLineChars="200"/>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rPr>
        <w:t>第</w:t>
      </w:r>
      <w:r>
        <w:rPr>
          <w:rFonts w:hint="eastAsia" w:ascii="仿宋_GB2312" w:hAnsi="仿宋_GB2312" w:eastAsia="仿宋_GB2312" w:cs="仿宋_GB2312"/>
          <w:b/>
          <w:color w:val="auto"/>
          <w:sz w:val="21"/>
          <w:szCs w:val="21"/>
          <w:lang w:val="en-US" w:eastAsia="zh-CN"/>
        </w:rPr>
        <w:t>十五</w:t>
      </w:r>
      <w:r>
        <w:rPr>
          <w:rFonts w:hint="eastAsia" w:ascii="仿宋_GB2312" w:hAnsi="仿宋_GB2312" w:eastAsia="仿宋_GB2312" w:cs="仿宋_GB2312"/>
          <w:b/>
          <w:color w:val="auto"/>
          <w:sz w:val="21"/>
          <w:szCs w:val="21"/>
        </w:rPr>
        <w:t>条　</w:t>
      </w:r>
      <w:r>
        <w:rPr>
          <w:rFonts w:hint="eastAsia" w:ascii="仿宋_GB2312" w:hAnsi="仿宋_GB2312" w:eastAsia="仿宋_GB2312" w:cs="仿宋_GB2312"/>
          <w:b/>
          <w:color w:val="auto"/>
          <w:sz w:val="21"/>
          <w:szCs w:val="21"/>
          <w:lang w:val="en-US" w:eastAsia="zh-CN"/>
        </w:rPr>
        <w:t>附则</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1.本合同未尽事宜，依照有关法律、法规执行，法律、法规未作规定的，甲乙双方可以达成书面补充协议。本合同的附件和补充协议均为本合同不可分割的组成部分，与本合同具有同等的法律效力。</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zh-TW" w:eastAsia="zh-TW"/>
        </w:rPr>
        <w:t>本合同内容经双方同意变更的，如果变更的内容涉及到</w:t>
      </w:r>
      <w:r>
        <w:rPr>
          <w:rFonts w:hint="eastAsia" w:ascii="仿宋_GB2312" w:hAnsi="仿宋_GB2312" w:eastAsia="仿宋_GB2312" w:cs="仿宋_GB2312"/>
          <w:color w:val="auto"/>
          <w:sz w:val="21"/>
          <w:szCs w:val="21"/>
          <w:lang w:val="en-US" w:eastAsia="zh-CN"/>
        </w:rPr>
        <w:t>材料</w:t>
      </w:r>
      <w:r>
        <w:rPr>
          <w:rFonts w:hint="eastAsia" w:ascii="仿宋_GB2312" w:hAnsi="仿宋_GB2312" w:eastAsia="仿宋_GB2312" w:cs="仿宋_GB2312"/>
          <w:color w:val="auto"/>
          <w:sz w:val="21"/>
          <w:szCs w:val="21"/>
          <w:lang w:val="zh-TW" w:eastAsia="zh-TW"/>
        </w:rPr>
        <w:t>或服务品种、价款等增值税专用发票记载项发生变化，则应作废、重开、补开、开具红字增值税专用发票，双方需履行各自的协助义务。</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本合同自双方签字盖章之日起生效，在本合同双方权利义务履行完毕时终止。</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i/>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对本合同的任何补充或修订需经双方以书面形式签署为有效。</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b/>
          <w:i/>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.本合同一式</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拾</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份，甲方执</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伍</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份，乙方执</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伍</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份，具有同等法律效力。</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.签约地点：</w:t>
      </w:r>
      <w:r>
        <w:rPr>
          <w:rFonts w:hint="eastAsia" w:ascii="仿宋_GB2312" w:hAnsi="仿宋_GB2312" w:eastAsia="仿宋_GB2312" w:cs="仿宋_GB2312"/>
          <w:color w:val="auto"/>
          <w:sz w:val="21"/>
          <w:szCs w:val="21"/>
          <w:lang w:val="en-US" w:eastAsia="zh-CN"/>
        </w:rPr>
        <w:t>北京市海淀区香山南路92号院2号楼。</w:t>
      </w:r>
    </w:p>
    <w:p>
      <w:pPr>
        <w:keepNext w:val="0"/>
        <w:keepLines w:val="0"/>
        <w:pageBreakBefore w:val="0"/>
        <w:kinsoku/>
        <w:wordWrap/>
        <w:overflowPunct/>
        <w:topLinePunct w:val="0"/>
        <w:bidi w:val="0"/>
        <w:spacing w:line="5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lang w:val="zh-TW" w:eastAsia="zh-TW"/>
        </w:rPr>
        <w:t>本合同附件包括（将所有附件在此后详细列明）：</w:t>
      </w:r>
      <w:r>
        <w:rPr>
          <w:rFonts w:hint="eastAsia" w:ascii="仿宋_GB2312" w:hAnsi="仿宋_GB2312" w:eastAsia="仿宋_GB2312" w:cs="仿宋_GB2312"/>
          <w:color w:val="auto"/>
          <w:sz w:val="21"/>
          <w:szCs w:val="21"/>
          <w:lang w:val="en-US" w:eastAsia="zh-CN"/>
        </w:rPr>
        <w:t xml:space="preserve">     </w:t>
      </w:r>
    </w:p>
    <w:tbl>
      <w:tblPr>
        <w:tblStyle w:val="8"/>
        <w:tblW w:w="9180" w:type="dxa"/>
        <w:tblInd w:w="-72" w:type="dxa"/>
        <w:tblLayout w:type="fixed"/>
        <w:tblCellMar>
          <w:top w:w="0" w:type="dxa"/>
          <w:left w:w="108" w:type="dxa"/>
          <w:bottom w:w="0" w:type="dxa"/>
          <w:right w:w="108" w:type="dxa"/>
        </w:tblCellMar>
      </w:tblPr>
      <w:tblGrid>
        <w:gridCol w:w="5040"/>
        <w:gridCol w:w="4140"/>
      </w:tblGrid>
      <w:tr>
        <w:tblPrEx>
          <w:tblCellMar>
            <w:top w:w="0" w:type="dxa"/>
            <w:left w:w="108" w:type="dxa"/>
            <w:bottom w:w="0" w:type="dxa"/>
            <w:right w:w="108" w:type="dxa"/>
          </w:tblCellMar>
        </w:tblPrEx>
        <w:trPr>
          <w:trHeight w:val="2190" w:hRule="atLeast"/>
        </w:trPr>
        <w:tc>
          <w:tcPr>
            <w:tcW w:w="5040" w:type="dxa"/>
          </w:tcPr>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 xml:space="preserve">甲方： 中国地质工程集团有限公司 </w:t>
            </w:r>
          </w:p>
          <w:p>
            <w:pPr>
              <w:pStyle w:val="6"/>
              <w:snapToGrid w:val="0"/>
              <w:spacing w:after="0" w:line="360" w:lineRule="exact"/>
              <w:rPr>
                <w:rFonts w:hint="eastAsia" w:ascii="仿宋_GB2312" w:hAnsi="仿宋_GB2312" w:eastAsia="仿宋_GB2312" w:cs="仿宋_GB2312"/>
                <w:color w:val="auto"/>
                <w:kern w:val="2"/>
                <w:sz w:val="21"/>
                <w:szCs w:val="21"/>
                <w:lang w:val="en-US" w:eastAsia="zh-CN" w:bidi="ar-SA"/>
              </w:rPr>
            </w:pPr>
          </w:p>
          <w:p>
            <w:pPr>
              <w:pStyle w:val="6"/>
              <w:snapToGrid w:val="0"/>
              <w:spacing w:after="0" w:line="600" w:lineRule="exact"/>
              <w:ind w:firstLine="1463" w:firstLineChars="697"/>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(盖章)</w:t>
            </w:r>
          </w:p>
        </w:tc>
        <w:tc>
          <w:tcPr>
            <w:tcW w:w="4140" w:type="dxa"/>
          </w:tcPr>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 xml:space="preserve">乙方：         </w:t>
            </w:r>
          </w:p>
          <w:p>
            <w:pPr>
              <w:pStyle w:val="6"/>
              <w:snapToGrid w:val="0"/>
              <w:spacing w:after="0" w:line="360" w:lineRule="exact"/>
              <w:rPr>
                <w:rFonts w:hint="eastAsia" w:ascii="仿宋_GB2312" w:hAnsi="仿宋_GB2312" w:eastAsia="仿宋_GB2312" w:cs="仿宋_GB2312"/>
                <w:color w:val="auto"/>
                <w:kern w:val="2"/>
                <w:sz w:val="21"/>
                <w:szCs w:val="21"/>
                <w:lang w:val="en-US" w:eastAsia="zh-CN" w:bidi="ar-SA"/>
              </w:rPr>
            </w:pPr>
          </w:p>
          <w:p>
            <w:pPr>
              <w:pStyle w:val="6"/>
              <w:snapToGrid w:val="0"/>
              <w:spacing w:after="0" w:line="600" w:lineRule="exact"/>
              <w:ind w:firstLine="525" w:firstLineChars="25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 xml:space="preserve">       (盖章)</w:t>
            </w:r>
          </w:p>
        </w:tc>
      </w:tr>
      <w:tr>
        <w:tblPrEx>
          <w:tblCellMar>
            <w:top w:w="0" w:type="dxa"/>
            <w:left w:w="108" w:type="dxa"/>
            <w:bottom w:w="0" w:type="dxa"/>
            <w:right w:w="108" w:type="dxa"/>
          </w:tblCellMar>
        </w:tblPrEx>
        <w:trPr>
          <w:trHeight w:val="80" w:hRule="atLeast"/>
        </w:trPr>
        <w:tc>
          <w:tcPr>
            <w:tcW w:w="5040" w:type="dxa"/>
          </w:tcPr>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p>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法定代表人或授权代表：</w:t>
            </w:r>
          </w:p>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日期：xxxx年xx月xx日</w:t>
            </w:r>
          </w:p>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签订地点：</w:t>
            </w:r>
          </w:p>
        </w:tc>
        <w:tc>
          <w:tcPr>
            <w:tcW w:w="4140" w:type="dxa"/>
          </w:tcPr>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p>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法定代表人或授权代表：</w:t>
            </w:r>
          </w:p>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日期：xxxx年xx月xx日</w:t>
            </w:r>
          </w:p>
          <w:p>
            <w:pPr>
              <w:pStyle w:val="6"/>
              <w:snapToGrid w:val="0"/>
              <w:spacing w:after="0" w:line="60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签订地点：</w:t>
            </w:r>
          </w:p>
        </w:tc>
      </w:tr>
    </w:tbl>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附件 物资采购明细表  </w:t>
      </w:r>
    </w:p>
    <w:p>
      <w:pPr>
        <w:jc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物资采购明细表</w:t>
      </w:r>
    </w:p>
    <w:tbl>
      <w:tblPr>
        <w:tblStyle w:val="9"/>
        <w:tblW w:w="98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0"/>
        <w:gridCol w:w="1101"/>
        <w:gridCol w:w="1559"/>
        <w:gridCol w:w="709"/>
        <w:gridCol w:w="1134"/>
        <w:gridCol w:w="1134"/>
        <w:gridCol w:w="1134"/>
        <w:gridCol w:w="22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0" w:type="dxa"/>
          </w:tcPr>
          <w:p>
            <w:pPr>
              <w:snapToGrid w:val="0"/>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品名</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规格型号</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w:t>
            </w:r>
          </w:p>
        </w:tc>
        <w:tc>
          <w:tcPr>
            <w:tcW w:w="1134"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1134"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含税综合</w:t>
            </w:r>
            <w:r>
              <w:rPr>
                <w:rFonts w:hint="eastAsia" w:ascii="仿宋_GB2312" w:hAnsi="仿宋_GB2312" w:eastAsia="仿宋_GB2312" w:cs="仿宋_GB2312"/>
                <w:color w:val="auto"/>
                <w:sz w:val="28"/>
                <w:szCs w:val="28"/>
              </w:rPr>
              <w:t>单价（元）</w:t>
            </w:r>
          </w:p>
        </w:tc>
        <w:tc>
          <w:tcPr>
            <w:tcW w:w="1134"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合计（元）</w:t>
            </w:r>
          </w:p>
        </w:tc>
        <w:tc>
          <w:tcPr>
            <w:tcW w:w="2297"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交（提）货时间及数量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高线光圆</w:t>
            </w:r>
            <w:r>
              <w:rPr>
                <w:rFonts w:hint="eastAsia" w:ascii="宋体" w:hAnsi="宋体" w:eastAsia="宋体" w:cs="宋体"/>
                <w:b/>
                <w:bCs/>
              </w:rPr>
              <w:t>φ8</w:t>
            </w:r>
          </w:p>
        </w:tc>
        <w:tc>
          <w:tcPr>
            <w:tcW w:w="709"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w:t>
            </w:r>
          </w:p>
        </w:tc>
        <w:tc>
          <w:tcPr>
            <w:tcW w:w="1134" w:type="dxa"/>
            <w:vMerge w:val="restart"/>
            <w:vAlign w:val="center"/>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FF0000"/>
                <w:sz w:val="28"/>
                <w:szCs w:val="28"/>
                <w:lang w:val="en-US" w:eastAsia="zh-CN"/>
              </w:rPr>
              <w:t>如为信息价，写明信息价来源、浮动、调价信息</w:t>
            </w:r>
          </w:p>
        </w:tc>
        <w:tc>
          <w:tcPr>
            <w:tcW w:w="1134" w:type="dxa"/>
            <w:vMerge w:val="restart"/>
            <w:vAlign w:val="center"/>
          </w:tcPr>
          <w:p>
            <w:pPr>
              <w:snapToGrid w:val="0"/>
              <w:spacing w:line="400" w:lineRule="exact"/>
              <w:jc w:val="center"/>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高线光圆</w:t>
            </w:r>
            <w:r>
              <w:rPr>
                <w:rFonts w:hint="eastAsia" w:ascii="宋体" w:hAnsi="宋体" w:eastAsia="宋体" w:cs="宋体"/>
                <w:b/>
                <w:bCs/>
              </w:rPr>
              <w:t>φ10</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66</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螺纹φ12</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533</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光圆</w:t>
            </w:r>
            <w:r>
              <w:rPr>
                <w:rFonts w:hint="eastAsia" w:ascii="宋体" w:hAnsi="宋体" w:eastAsia="宋体" w:cs="宋体"/>
                <w:b/>
                <w:bCs/>
              </w:rPr>
              <w:t>φ14</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螺纹φ16</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151</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螺纹φ20</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螺纹φ22</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1105</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螺纹φ25</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679</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1101" w:type="dxa"/>
          </w:tcPr>
          <w:p>
            <w:pPr>
              <w:snapToGrid w:val="0"/>
              <w:spacing w:line="400" w:lineRule="exact"/>
              <w:jc w:val="center"/>
              <w:rPr>
                <w:rFonts w:hint="eastAsia" w:ascii="仿宋_GB2312" w:hAnsi="仿宋_GB2312" w:eastAsia="仿宋_GB2312" w:cs="仿宋_GB2312"/>
                <w:color w:val="auto"/>
                <w:sz w:val="28"/>
                <w:szCs w:val="28"/>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螺纹φ28</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28</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1101" w:type="dxa"/>
          </w:tcPr>
          <w:p>
            <w:pPr>
              <w:snapToGrid w:val="0"/>
              <w:spacing w:line="400" w:lineRule="exact"/>
              <w:jc w:val="center"/>
              <w:rPr>
                <w:rFonts w:ascii="宋体" w:hAnsi="宋体" w:eastAsia="宋体" w:cs="宋体"/>
                <w:b/>
                <w:bCs/>
                <w:lang w:val="zh-TW" w:eastAsia="zh-TW"/>
              </w:rPr>
            </w:pPr>
            <w:r>
              <w:rPr>
                <w:rFonts w:ascii="宋体" w:hAnsi="宋体" w:eastAsia="宋体" w:cs="宋体"/>
                <w:b/>
                <w:bCs/>
                <w:lang w:val="zh-TW" w:eastAsia="zh-TW"/>
              </w:rPr>
              <w:t>钢材</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螺纹φ</w:t>
            </w:r>
            <w:r>
              <w:rPr>
                <w:rFonts w:ascii="宋体" w:hAnsi="宋体" w:eastAsia="宋体" w:cs="宋体"/>
                <w:b/>
                <w:bCs/>
              </w:rPr>
              <w:t>32</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66</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1101" w:type="dxa"/>
          </w:tcPr>
          <w:p>
            <w:pPr>
              <w:snapToGrid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工字钢</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w:t>
            </w:r>
            <w:r>
              <w:rPr>
                <w:rFonts w:ascii="宋体" w:hAnsi="宋体" w:eastAsia="宋体" w:cs="宋体"/>
                <w:b/>
                <w:bCs/>
              </w:rPr>
              <w:t>25</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1101" w:type="dxa"/>
          </w:tcPr>
          <w:p>
            <w:pPr>
              <w:snapToGrid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工字钢</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#20</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852</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p>
        </w:tc>
        <w:tc>
          <w:tcPr>
            <w:tcW w:w="1101" w:type="dxa"/>
          </w:tcPr>
          <w:p>
            <w:pPr>
              <w:snapToGrid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工字钢</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#18</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434</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p>
        </w:tc>
        <w:tc>
          <w:tcPr>
            <w:tcW w:w="1101" w:type="dxa"/>
          </w:tcPr>
          <w:p>
            <w:pPr>
              <w:snapToGrid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工字钢</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#16</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29</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01" w:type="dxa"/>
          </w:tcPr>
          <w:p>
            <w:pPr>
              <w:snapToGrid w:val="0"/>
              <w:spacing w:line="400" w:lineRule="exact"/>
              <w:jc w:val="center"/>
              <w:rPr>
                <w:rFonts w:ascii="宋体" w:hAnsi="宋体" w:eastAsia="宋体" w:cs="宋体"/>
                <w:b/>
                <w:bCs/>
                <w:lang w:val="zh-TW" w:eastAsia="zh-TW"/>
              </w:rPr>
            </w:pPr>
            <w:r>
              <w:rPr>
                <w:rFonts w:hint="eastAsia" w:ascii="宋体" w:hAnsi="宋体" w:eastAsia="宋体" w:cs="宋体"/>
                <w:b/>
                <w:bCs/>
                <w:lang w:val="zh-TW"/>
              </w:rPr>
              <w:t>钢板</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cs="宋体"/>
                <w:b/>
                <w:bCs/>
                <w:lang w:val="en-US" w:eastAsia="zh-CN"/>
              </w:rPr>
              <w:t>#16</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224</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70"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w:t>
            </w:r>
          </w:p>
        </w:tc>
        <w:tc>
          <w:tcPr>
            <w:tcW w:w="1101" w:type="dxa"/>
          </w:tcPr>
          <w:p>
            <w:pPr>
              <w:snapToGrid w:val="0"/>
              <w:spacing w:line="400" w:lineRule="exact"/>
              <w:jc w:val="center"/>
              <w:rPr>
                <w:rFonts w:ascii="宋体" w:hAnsi="宋体" w:eastAsia="宋体" w:cs="宋体"/>
                <w:b/>
                <w:bCs/>
                <w:lang w:val="zh-TW" w:eastAsia="zh-TW"/>
              </w:rPr>
            </w:pPr>
            <w:r>
              <w:rPr>
                <w:rFonts w:hint="eastAsia" w:ascii="宋体" w:hAnsi="宋体" w:eastAsia="宋体" w:cs="宋体"/>
                <w:b/>
                <w:bCs/>
                <w:lang w:val="zh-TW"/>
              </w:rPr>
              <w:t>钢板</w:t>
            </w:r>
          </w:p>
        </w:tc>
        <w:tc>
          <w:tcPr>
            <w:tcW w:w="155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宋体" w:hAnsi="宋体" w:eastAsia="宋体" w:cs="宋体"/>
                <w:b/>
                <w:bCs/>
              </w:rPr>
              <w:t>φ</w:t>
            </w:r>
            <w:r>
              <w:rPr>
                <w:rFonts w:hint="eastAsia" w:ascii="宋体" w:hAnsi="宋体" w:cs="宋体"/>
                <w:b/>
                <w:bCs/>
                <w:lang w:val="en-US" w:eastAsia="zh-CN"/>
              </w:rPr>
              <w:t>40</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308</w:t>
            </w: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Pr>
          <w:p>
            <w:pPr>
              <w:snapToGrid w:val="0"/>
              <w:spacing w:line="400" w:lineRule="exact"/>
              <w:rPr>
                <w:rFonts w:hint="eastAsia" w:ascii="仿宋_GB2312" w:hAnsi="仿宋_GB2312" w:eastAsia="仿宋_GB2312" w:cs="仿宋_GB2312"/>
                <w:color w:val="auto"/>
                <w:sz w:val="28"/>
                <w:szCs w:val="28"/>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430" w:type="dxa"/>
            <w:gridSpan w:val="3"/>
          </w:tcPr>
          <w:p>
            <w:pPr>
              <w:snapToGrid w:val="0"/>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合计</w:t>
            </w:r>
          </w:p>
        </w:tc>
        <w:tc>
          <w:tcPr>
            <w:tcW w:w="709" w:type="dxa"/>
          </w:tcPr>
          <w:p>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T</w:t>
            </w:r>
          </w:p>
        </w:tc>
        <w:tc>
          <w:tcPr>
            <w:tcW w:w="1134" w:type="dxa"/>
          </w:tcPr>
          <w:p>
            <w:pPr>
              <w:snapToGrid w:val="0"/>
              <w:spacing w:line="400" w:lineRule="exact"/>
              <w:jc w:val="center"/>
              <w:rPr>
                <w:rFonts w:hint="eastAsia" w:ascii="仿宋_GB2312" w:hAnsi="仿宋_GB2312" w:eastAsia="仿宋_GB2312" w:cs="仿宋_GB2312"/>
                <w:color w:val="auto"/>
                <w:sz w:val="28"/>
                <w:szCs w:val="28"/>
              </w:rPr>
            </w:pPr>
          </w:p>
        </w:tc>
        <w:tc>
          <w:tcPr>
            <w:tcW w:w="1134" w:type="dxa"/>
            <w:vMerge w:val="continue"/>
            <w:tcBorders>
              <w:bottom w:val="single" w:color="auto" w:sz="4" w:space="0"/>
            </w:tcBorders>
          </w:tcPr>
          <w:p>
            <w:pPr>
              <w:snapToGrid w:val="0"/>
              <w:spacing w:line="400" w:lineRule="exact"/>
              <w:rPr>
                <w:rFonts w:hint="eastAsia" w:ascii="仿宋_GB2312" w:hAnsi="仿宋_GB2312" w:eastAsia="仿宋_GB2312" w:cs="仿宋_GB2312"/>
                <w:color w:val="auto"/>
                <w:sz w:val="28"/>
                <w:szCs w:val="28"/>
              </w:rPr>
            </w:pPr>
          </w:p>
        </w:tc>
        <w:tc>
          <w:tcPr>
            <w:tcW w:w="1134" w:type="dxa"/>
            <w:vMerge w:val="continue"/>
            <w:tcBorders>
              <w:bottom w:val="single" w:color="auto" w:sz="4" w:space="0"/>
            </w:tcBorders>
          </w:tcPr>
          <w:p>
            <w:pPr>
              <w:snapToGrid w:val="0"/>
              <w:spacing w:line="400" w:lineRule="exact"/>
              <w:jc w:val="center"/>
              <w:rPr>
                <w:rFonts w:hint="default" w:ascii="仿宋_GB2312" w:hAnsi="仿宋_GB2312" w:eastAsia="仿宋_GB2312" w:cs="仿宋_GB2312"/>
                <w:color w:val="auto"/>
                <w:sz w:val="28"/>
                <w:szCs w:val="28"/>
                <w:lang w:val="en-US" w:eastAsia="zh-CN"/>
              </w:rPr>
            </w:pPr>
          </w:p>
        </w:tc>
        <w:tc>
          <w:tcPr>
            <w:tcW w:w="2297" w:type="dxa"/>
          </w:tcPr>
          <w:p>
            <w:pPr>
              <w:snapToGrid w:val="0"/>
              <w:spacing w:line="400" w:lineRule="exact"/>
              <w:rPr>
                <w:rFonts w:hint="eastAsia"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8" w:type="dxa"/>
            <w:gridSpan w:val="8"/>
          </w:tcPr>
          <w:p>
            <w:pPr>
              <w:snapToGrid w:val="0"/>
              <w:spacing w:line="40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w:t>
            </w:r>
          </w:p>
        </w:tc>
      </w:tr>
    </w:tbl>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4F"/>
    <w:rsid w:val="000126B9"/>
    <w:rsid w:val="000979C8"/>
    <w:rsid w:val="000A1F8F"/>
    <w:rsid w:val="000B06AE"/>
    <w:rsid w:val="000B0966"/>
    <w:rsid w:val="000B4740"/>
    <w:rsid w:val="000E51E0"/>
    <w:rsid w:val="001229B7"/>
    <w:rsid w:val="0021524F"/>
    <w:rsid w:val="00225CB1"/>
    <w:rsid w:val="002572B1"/>
    <w:rsid w:val="0026469E"/>
    <w:rsid w:val="00296430"/>
    <w:rsid w:val="002A1F9A"/>
    <w:rsid w:val="002C2A7A"/>
    <w:rsid w:val="0031137B"/>
    <w:rsid w:val="0038325C"/>
    <w:rsid w:val="003A44D8"/>
    <w:rsid w:val="003B08C0"/>
    <w:rsid w:val="003C4FD4"/>
    <w:rsid w:val="003C70B3"/>
    <w:rsid w:val="003D25D0"/>
    <w:rsid w:val="00411560"/>
    <w:rsid w:val="004345EF"/>
    <w:rsid w:val="0044299B"/>
    <w:rsid w:val="0044689D"/>
    <w:rsid w:val="004847DB"/>
    <w:rsid w:val="004B3803"/>
    <w:rsid w:val="004C0F5C"/>
    <w:rsid w:val="004C2057"/>
    <w:rsid w:val="004C38E3"/>
    <w:rsid w:val="004D04E0"/>
    <w:rsid w:val="00527F53"/>
    <w:rsid w:val="00563807"/>
    <w:rsid w:val="005B2DC6"/>
    <w:rsid w:val="005D4A64"/>
    <w:rsid w:val="005D69E9"/>
    <w:rsid w:val="006624A2"/>
    <w:rsid w:val="00696A1B"/>
    <w:rsid w:val="006D16BD"/>
    <w:rsid w:val="006F4A72"/>
    <w:rsid w:val="0071675D"/>
    <w:rsid w:val="00763B1A"/>
    <w:rsid w:val="00782D5D"/>
    <w:rsid w:val="007A329C"/>
    <w:rsid w:val="007B20BC"/>
    <w:rsid w:val="008374DE"/>
    <w:rsid w:val="00883AB0"/>
    <w:rsid w:val="008F7F94"/>
    <w:rsid w:val="009519B1"/>
    <w:rsid w:val="00A203D0"/>
    <w:rsid w:val="00A57967"/>
    <w:rsid w:val="00A579FF"/>
    <w:rsid w:val="00A84214"/>
    <w:rsid w:val="00A8625B"/>
    <w:rsid w:val="00AB471A"/>
    <w:rsid w:val="00B155D1"/>
    <w:rsid w:val="00B15D32"/>
    <w:rsid w:val="00B36B98"/>
    <w:rsid w:val="00B45335"/>
    <w:rsid w:val="00B46A00"/>
    <w:rsid w:val="00BA0B6B"/>
    <w:rsid w:val="00BA28CD"/>
    <w:rsid w:val="00BC0574"/>
    <w:rsid w:val="00BC548D"/>
    <w:rsid w:val="00C22C6C"/>
    <w:rsid w:val="00C305A6"/>
    <w:rsid w:val="00C33557"/>
    <w:rsid w:val="00CC7279"/>
    <w:rsid w:val="00D02FCE"/>
    <w:rsid w:val="00D96262"/>
    <w:rsid w:val="00D97CC2"/>
    <w:rsid w:val="00DE1BFC"/>
    <w:rsid w:val="00E315DD"/>
    <w:rsid w:val="00E87C53"/>
    <w:rsid w:val="00E90A28"/>
    <w:rsid w:val="00E9414D"/>
    <w:rsid w:val="00E95DAE"/>
    <w:rsid w:val="00EB15BE"/>
    <w:rsid w:val="00EB3148"/>
    <w:rsid w:val="00ED5657"/>
    <w:rsid w:val="00F63BBF"/>
    <w:rsid w:val="00F96F79"/>
    <w:rsid w:val="00FF2C19"/>
    <w:rsid w:val="01233BA4"/>
    <w:rsid w:val="012C4758"/>
    <w:rsid w:val="01780D1A"/>
    <w:rsid w:val="018B608B"/>
    <w:rsid w:val="02640D90"/>
    <w:rsid w:val="02DA415C"/>
    <w:rsid w:val="02FB2E66"/>
    <w:rsid w:val="03021257"/>
    <w:rsid w:val="036557E6"/>
    <w:rsid w:val="0402610A"/>
    <w:rsid w:val="0419301E"/>
    <w:rsid w:val="043A5C5C"/>
    <w:rsid w:val="05302D9E"/>
    <w:rsid w:val="055C394D"/>
    <w:rsid w:val="057C4543"/>
    <w:rsid w:val="057F507E"/>
    <w:rsid w:val="05A546DA"/>
    <w:rsid w:val="06015E7E"/>
    <w:rsid w:val="06166EAB"/>
    <w:rsid w:val="06527D81"/>
    <w:rsid w:val="0658112C"/>
    <w:rsid w:val="06747278"/>
    <w:rsid w:val="06C403A7"/>
    <w:rsid w:val="06EE4FD4"/>
    <w:rsid w:val="0711211C"/>
    <w:rsid w:val="07455E6F"/>
    <w:rsid w:val="07456B60"/>
    <w:rsid w:val="077D53BA"/>
    <w:rsid w:val="078C60DC"/>
    <w:rsid w:val="085A1434"/>
    <w:rsid w:val="08930042"/>
    <w:rsid w:val="08982FE7"/>
    <w:rsid w:val="08B5604C"/>
    <w:rsid w:val="08D852E4"/>
    <w:rsid w:val="08FD681F"/>
    <w:rsid w:val="09603708"/>
    <w:rsid w:val="09681BFB"/>
    <w:rsid w:val="097A20F4"/>
    <w:rsid w:val="09CD2C2B"/>
    <w:rsid w:val="0A041AA5"/>
    <w:rsid w:val="0A45409D"/>
    <w:rsid w:val="0AAD3274"/>
    <w:rsid w:val="0AB11512"/>
    <w:rsid w:val="0B447F6D"/>
    <w:rsid w:val="0B4A0E9E"/>
    <w:rsid w:val="0B8C6941"/>
    <w:rsid w:val="0BE961D9"/>
    <w:rsid w:val="0BEB2C4A"/>
    <w:rsid w:val="0BF978D5"/>
    <w:rsid w:val="0C3C1272"/>
    <w:rsid w:val="0C666ABD"/>
    <w:rsid w:val="0CC50567"/>
    <w:rsid w:val="0CF70452"/>
    <w:rsid w:val="0D814211"/>
    <w:rsid w:val="0E335B3D"/>
    <w:rsid w:val="0E610ED5"/>
    <w:rsid w:val="0E62380C"/>
    <w:rsid w:val="0E801717"/>
    <w:rsid w:val="0EA10472"/>
    <w:rsid w:val="0EC961F2"/>
    <w:rsid w:val="0EE36029"/>
    <w:rsid w:val="0EF1623F"/>
    <w:rsid w:val="0FAE0B71"/>
    <w:rsid w:val="0FC72857"/>
    <w:rsid w:val="1033022D"/>
    <w:rsid w:val="103B72DA"/>
    <w:rsid w:val="10724AF5"/>
    <w:rsid w:val="10C3689A"/>
    <w:rsid w:val="11975A51"/>
    <w:rsid w:val="122C5641"/>
    <w:rsid w:val="12D34DBE"/>
    <w:rsid w:val="13506310"/>
    <w:rsid w:val="13544505"/>
    <w:rsid w:val="13741D26"/>
    <w:rsid w:val="13CF3750"/>
    <w:rsid w:val="141928E6"/>
    <w:rsid w:val="14305883"/>
    <w:rsid w:val="143B59DB"/>
    <w:rsid w:val="14902E0A"/>
    <w:rsid w:val="14B07A97"/>
    <w:rsid w:val="14E2146C"/>
    <w:rsid w:val="15055AA1"/>
    <w:rsid w:val="150D2993"/>
    <w:rsid w:val="151133E5"/>
    <w:rsid w:val="157B779C"/>
    <w:rsid w:val="173C7E09"/>
    <w:rsid w:val="17563E2E"/>
    <w:rsid w:val="17B73CC0"/>
    <w:rsid w:val="17C02767"/>
    <w:rsid w:val="17CB18BE"/>
    <w:rsid w:val="17D109E4"/>
    <w:rsid w:val="17D3480C"/>
    <w:rsid w:val="17F613D6"/>
    <w:rsid w:val="18186ACC"/>
    <w:rsid w:val="183F1BA4"/>
    <w:rsid w:val="185264E0"/>
    <w:rsid w:val="18D472F0"/>
    <w:rsid w:val="18E96ACC"/>
    <w:rsid w:val="199A2A2B"/>
    <w:rsid w:val="19C536E5"/>
    <w:rsid w:val="19EA1844"/>
    <w:rsid w:val="1A112E04"/>
    <w:rsid w:val="1A514E6D"/>
    <w:rsid w:val="1ABF6001"/>
    <w:rsid w:val="1B666A28"/>
    <w:rsid w:val="1B80036D"/>
    <w:rsid w:val="1B9C699E"/>
    <w:rsid w:val="1BBA1E95"/>
    <w:rsid w:val="1BE54E85"/>
    <w:rsid w:val="1BF63B3D"/>
    <w:rsid w:val="1C0E1BAA"/>
    <w:rsid w:val="1C206B45"/>
    <w:rsid w:val="1C782EA9"/>
    <w:rsid w:val="1CEA4238"/>
    <w:rsid w:val="1E264C09"/>
    <w:rsid w:val="1E440F4F"/>
    <w:rsid w:val="1E7F3D8D"/>
    <w:rsid w:val="1EC16EE6"/>
    <w:rsid w:val="1F331C3D"/>
    <w:rsid w:val="1FE420B6"/>
    <w:rsid w:val="20105524"/>
    <w:rsid w:val="201338EA"/>
    <w:rsid w:val="20D41CB2"/>
    <w:rsid w:val="21D36A0E"/>
    <w:rsid w:val="22B01F4B"/>
    <w:rsid w:val="22D2333B"/>
    <w:rsid w:val="238477A6"/>
    <w:rsid w:val="23A473A8"/>
    <w:rsid w:val="23E82789"/>
    <w:rsid w:val="24B620A0"/>
    <w:rsid w:val="25140EBC"/>
    <w:rsid w:val="256F4FA9"/>
    <w:rsid w:val="258B0B7E"/>
    <w:rsid w:val="25A62424"/>
    <w:rsid w:val="25E50B0C"/>
    <w:rsid w:val="26DD2580"/>
    <w:rsid w:val="274B3CD0"/>
    <w:rsid w:val="27AA3C6A"/>
    <w:rsid w:val="27ED2ECD"/>
    <w:rsid w:val="27F1351C"/>
    <w:rsid w:val="28085928"/>
    <w:rsid w:val="28EA33BE"/>
    <w:rsid w:val="290376BA"/>
    <w:rsid w:val="29392DCE"/>
    <w:rsid w:val="29BC049A"/>
    <w:rsid w:val="29C52A5A"/>
    <w:rsid w:val="29CB34F7"/>
    <w:rsid w:val="29EA09C6"/>
    <w:rsid w:val="2A2C63BE"/>
    <w:rsid w:val="2AA84272"/>
    <w:rsid w:val="2ABB18DD"/>
    <w:rsid w:val="2B0E43C2"/>
    <w:rsid w:val="2B1C6CE5"/>
    <w:rsid w:val="2B321298"/>
    <w:rsid w:val="2B3B2637"/>
    <w:rsid w:val="2B3F7C24"/>
    <w:rsid w:val="2BA140EB"/>
    <w:rsid w:val="2BD06120"/>
    <w:rsid w:val="2CBB6F92"/>
    <w:rsid w:val="2CC5487E"/>
    <w:rsid w:val="2CF52236"/>
    <w:rsid w:val="2D4126D8"/>
    <w:rsid w:val="2D7746A6"/>
    <w:rsid w:val="2D974B9D"/>
    <w:rsid w:val="2E643AAA"/>
    <w:rsid w:val="2F02765E"/>
    <w:rsid w:val="2F163E11"/>
    <w:rsid w:val="2F1D6649"/>
    <w:rsid w:val="2F2830F7"/>
    <w:rsid w:val="2F76392D"/>
    <w:rsid w:val="2F7B2D55"/>
    <w:rsid w:val="2F880E7F"/>
    <w:rsid w:val="2FA36308"/>
    <w:rsid w:val="307E3A59"/>
    <w:rsid w:val="30A402D0"/>
    <w:rsid w:val="30C63CBB"/>
    <w:rsid w:val="310D3F7A"/>
    <w:rsid w:val="3117031A"/>
    <w:rsid w:val="312C5B2F"/>
    <w:rsid w:val="319A111A"/>
    <w:rsid w:val="31B552B3"/>
    <w:rsid w:val="32151BD5"/>
    <w:rsid w:val="3256320B"/>
    <w:rsid w:val="32E10E6C"/>
    <w:rsid w:val="33526DB7"/>
    <w:rsid w:val="33841321"/>
    <w:rsid w:val="339C46EF"/>
    <w:rsid w:val="34227E8A"/>
    <w:rsid w:val="345512BE"/>
    <w:rsid w:val="348C5EFC"/>
    <w:rsid w:val="34DD6774"/>
    <w:rsid w:val="354138E4"/>
    <w:rsid w:val="357025F2"/>
    <w:rsid w:val="36166BEF"/>
    <w:rsid w:val="363309E6"/>
    <w:rsid w:val="36A029BD"/>
    <w:rsid w:val="36FC5C17"/>
    <w:rsid w:val="37F92887"/>
    <w:rsid w:val="391C5F2B"/>
    <w:rsid w:val="392539A4"/>
    <w:rsid w:val="39342E93"/>
    <w:rsid w:val="395B6B9F"/>
    <w:rsid w:val="399856F3"/>
    <w:rsid w:val="39C147CD"/>
    <w:rsid w:val="39D010E5"/>
    <w:rsid w:val="39FC2B31"/>
    <w:rsid w:val="3AF870B7"/>
    <w:rsid w:val="3B14777C"/>
    <w:rsid w:val="3B194E0D"/>
    <w:rsid w:val="3BBE3BFF"/>
    <w:rsid w:val="3BFC6697"/>
    <w:rsid w:val="3C0322E9"/>
    <w:rsid w:val="3C6B490E"/>
    <w:rsid w:val="3C94257A"/>
    <w:rsid w:val="3CE97552"/>
    <w:rsid w:val="3D156C47"/>
    <w:rsid w:val="3D2368D6"/>
    <w:rsid w:val="3D287568"/>
    <w:rsid w:val="3E317AE5"/>
    <w:rsid w:val="3E33684A"/>
    <w:rsid w:val="3ED62756"/>
    <w:rsid w:val="3F742773"/>
    <w:rsid w:val="3F9F3D14"/>
    <w:rsid w:val="406F5726"/>
    <w:rsid w:val="40ED29B7"/>
    <w:rsid w:val="413E0853"/>
    <w:rsid w:val="42247D88"/>
    <w:rsid w:val="422F29B2"/>
    <w:rsid w:val="42B83F02"/>
    <w:rsid w:val="42D244C0"/>
    <w:rsid w:val="42D34BE4"/>
    <w:rsid w:val="42DD4A04"/>
    <w:rsid w:val="42E85074"/>
    <w:rsid w:val="434A51A5"/>
    <w:rsid w:val="43DF7343"/>
    <w:rsid w:val="44004F9E"/>
    <w:rsid w:val="44FC6265"/>
    <w:rsid w:val="4531264D"/>
    <w:rsid w:val="458D2CD2"/>
    <w:rsid w:val="462D2F3C"/>
    <w:rsid w:val="464E4784"/>
    <w:rsid w:val="46601A04"/>
    <w:rsid w:val="4720423F"/>
    <w:rsid w:val="47520978"/>
    <w:rsid w:val="475D72F2"/>
    <w:rsid w:val="47CB5CAD"/>
    <w:rsid w:val="485778CD"/>
    <w:rsid w:val="48CD36F9"/>
    <w:rsid w:val="48EF387F"/>
    <w:rsid w:val="48F74BC1"/>
    <w:rsid w:val="49AD2F1A"/>
    <w:rsid w:val="49BA799D"/>
    <w:rsid w:val="49FC6864"/>
    <w:rsid w:val="4A190F01"/>
    <w:rsid w:val="4A776CC0"/>
    <w:rsid w:val="4A9D377C"/>
    <w:rsid w:val="4ADA2566"/>
    <w:rsid w:val="4AE30509"/>
    <w:rsid w:val="4AFE5482"/>
    <w:rsid w:val="4B001D36"/>
    <w:rsid w:val="4B5C3801"/>
    <w:rsid w:val="4BB40C41"/>
    <w:rsid w:val="4BD25D14"/>
    <w:rsid w:val="4C6D262E"/>
    <w:rsid w:val="4CCF567B"/>
    <w:rsid w:val="4CEC6605"/>
    <w:rsid w:val="4D5A3BD8"/>
    <w:rsid w:val="4F106B1D"/>
    <w:rsid w:val="4F1E0448"/>
    <w:rsid w:val="504F4E46"/>
    <w:rsid w:val="508C5376"/>
    <w:rsid w:val="5106778A"/>
    <w:rsid w:val="512C063B"/>
    <w:rsid w:val="51A85801"/>
    <w:rsid w:val="52475253"/>
    <w:rsid w:val="52E74D33"/>
    <w:rsid w:val="530D02DB"/>
    <w:rsid w:val="5344664F"/>
    <w:rsid w:val="53BB3289"/>
    <w:rsid w:val="54547BD2"/>
    <w:rsid w:val="546B3ACE"/>
    <w:rsid w:val="54B13860"/>
    <w:rsid w:val="54C03F5A"/>
    <w:rsid w:val="54F40207"/>
    <w:rsid w:val="54F94F61"/>
    <w:rsid w:val="55105024"/>
    <w:rsid w:val="55580679"/>
    <w:rsid w:val="56175217"/>
    <w:rsid w:val="562B6ACB"/>
    <w:rsid w:val="56876FD6"/>
    <w:rsid w:val="568E513E"/>
    <w:rsid w:val="56DD623F"/>
    <w:rsid w:val="57CF5537"/>
    <w:rsid w:val="585F100D"/>
    <w:rsid w:val="58F11C5C"/>
    <w:rsid w:val="59234B3E"/>
    <w:rsid w:val="592513D3"/>
    <w:rsid w:val="594B2C71"/>
    <w:rsid w:val="594E6B3A"/>
    <w:rsid w:val="59B45813"/>
    <w:rsid w:val="5A0C0503"/>
    <w:rsid w:val="5A4A481D"/>
    <w:rsid w:val="5A641FAF"/>
    <w:rsid w:val="5A70077C"/>
    <w:rsid w:val="5B2C5C1F"/>
    <w:rsid w:val="5C1B076F"/>
    <w:rsid w:val="5C203F37"/>
    <w:rsid w:val="5C2F4E31"/>
    <w:rsid w:val="5D093BB7"/>
    <w:rsid w:val="5D152179"/>
    <w:rsid w:val="5D677838"/>
    <w:rsid w:val="5DF31B51"/>
    <w:rsid w:val="5EE64A29"/>
    <w:rsid w:val="5F216410"/>
    <w:rsid w:val="5F2F0DCA"/>
    <w:rsid w:val="5F3B2CC7"/>
    <w:rsid w:val="5FBE5872"/>
    <w:rsid w:val="5FD76ED6"/>
    <w:rsid w:val="5FED2E20"/>
    <w:rsid w:val="601062AD"/>
    <w:rsid w:val="609544DA"/>
    <w:rsid w:val="61034E59"/>
    <w:rsid w:val="618242DB"/>
    <w:rsid w:val="629F1044"/>
    <w:rsid w:val="62B74984"/>
    <w:rsid w:val="62F22BCC"/>
    <w:rsid w:val="62FD5119"/>
    <w:rsid w:val="632F7C25"/>
    <w:rsid w:val="637468A2"/>
    <w:rsid w:val="638127E8"/>
    <w:rsid w:val="63A01FB8"/>
    <w:rsid w:val="63FD5193"/>
    <w:rsid w:val="641F7D69"/>
    <w:rsid w:val="643C3AF3"/>
    <w:rsid w:val="644864BA"/>
    <w:rsid w:val="64701EB4"/>
    <w:rsid w:val="64A0431C"/>
    <w:rsid w:val="64F978DC"/>
    <w:rsid w:val="65297539"/>
    <w:rsid w:val="655A6D86"/>
    <w:rsid w:val="65BE3F0F"/>
    <w:rsid w:val="65CA1803"/>
    <w:rsid w:val="65E97848"/>
    <w:rsid w:val="66343BBA"/>
    <w:rsid w:val="66BE225C"/>
    <w:rsid w:val="66C36587"/>
    <w:rsid w:val="66E65247"/>
    <w:rsid w:val="67796BD1"/>
    <w:rsid w:val="67816857"/>
    <w:rsid w:val="684E0546"/>
    <w:rsid w:val="68BA6009"/>
    <w:rsid w:val="68FC0A45"/>
    <w:rsid w:val="69011C3B"/>
    <w:rsid w:val="692E4080"/>
    <w:rsid w:val="69390327"/>
    <w:rsid w:val="697D540C"/>
    <w:rsid w:val="6A137BE5"/>
    <w:rsid w:val="6AA8130D"/>
    <w:rsid w:val="6AC879D6"/>
    <w:rsid w:val="6B4D2F68"/>
    <w:rsid w:val="6C366BCF"/>
    <w:rsid w:val="6C694539"/>
    <w:rsid w:val="6CAD7AE9"/>
    <w:rsid w:val="6CAE3FA4"/>
    <w:rsid w:val="6CCC0532"/>
    <w:rsid w:val="6D4B0788"/>
    <w:rsid w:val="6D6A178D"/>
    <w:rsid w:val="6DC27CB7"/>
    <w:rsid w:val="6E111434"/>
    <w:rsid w:val="6E905D04"/>
    <w:rsid w:val="6E9D0AFB"/>
    <w:rsid w:val="6F2324F2"/>
    <w:rsid w:val="6F5F03D4"/>
    <w:rsid w:val="70047A3C"/>
    <w:rsid w:val="70B16FC3"/>
    <w:rsid w:val="70E1612C"/>
    <w:rsid w:val="71262DA5"/>
    <w:rsid w:val="712A32CD"/>
    <w:rsid w:val="71F07487"/>
    <w:rsid w:val="729F249B"/>
    <w:rsid w:val="732D7B56"/>
    <w:rsid w:val="739D2CB6"/>
    <w:rsid w:val="73D715D1"/>
    <w:rsid w:val="73F20A9B"/>
    <w:rsid w:val="740B4B5B"/>
    <w:rsid w:val="744207A1"/>
    <w:rsid w:val="74885D18"/>
    <w:rsid w:val="74E87096"/>
    <w:rsid w:val="7577319E"/>
    <w:rsid w:val="757E3895"/>
    <w:rsid w:val="75E26F50"/>
    <w:rsid w:val="76114310"/>
    <w:rsid w:val="77370108"/>
    <w:rsid w:val="77851ECE"/>
    <w:rsid w:val="778E1D4A"/>
    <w:rsid w:val="77A540B2"/>
    <w:rsid w:val="77B76F84"/>
    <w:rsid w:val="77FD7DCC"/>
    <w:rsid w:val="78C33156"/>
    <w:rsid w:val="79BC6DE6"/>
    <w:rsid w:val="79E87C57"/>
    <w:rsid w:val="7A5D2BE5"/>
    <w:rsid w:val="7AB169BB"/>
    <w:rsid w:val="7BD451D5"/>
    <w:rsid w:val="7BD9635A"/>
    <w:rsid w:val="7BEB560A"/>
    <w:rsid w:val="7C0B6602"/>
    <w:rsid w:val="7C9C57BE"/>
    <w:rsid w:val="7CDC478F"/>
    <w:rsid w:val="7D4C6CBF"/>
    <w:rsid w:val="7E0C1DAD"/>
    <w:rsid w:val="7E736E69"/>
    <w:rsid w:val="7ECC5730"/>
    <w:rsid w:val="7EDB7BBE"/>
    <w:rsid w:val="7EE718A9"/>
    <w:rsid w:val="7F437D13"/>
    <w:rsid w:val="7F444F5C"/>
    <w:rsid w:val="7FB9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line="480" w:lineRule="auto"/>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2">
    <w:name w:val="页眉 Char"/>
    <w:basedOn w:val="10"/>
    <w:link w:val="5"/>
    <w:qFormat/>
    <w:uiPriority w:val="0"/>
    <w:rPr>
      <w:kern w:val="2"/>
      <w:sz w:val="18"/>
      <w:szCs w:val="18"/>
    </w:rPr>
  </w:style>
  <w:style w:type="character" w:customStyle="1" w:styleId="13">
    <w:name w:val="页脚 Char"/>
    <w:basedOn w:val="10"/>
    <w:link w:val="4"/>
    <w:qFormat/>
    <w:uiPriority w:val="0"/>
    <w:rPr>
      <w:kern w:val="2"/>
      <w:sz w:val="18"/>
      <w:szCs w:val="18"/>
    </w:rPr>
  </w:style>
  <w:style w:type="paragraph" w:customStyle="1" w:styleId="14">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1035</Words>
  <Characters>5902</Characters>
  <Lines>49</Lines>
  <Paragraphs>13</Paragraphs>
  <TotalTime>1</TotalTime>
  <ScaleCrop>false</ScaleCrop>
  <LinksUpToDate>false</LinksUpToDate>
  <CharactersWithSpaces>6924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旧日的足迹</cp:lastModifiedBy>
  <dcterms:modified xsi:type="dcterms:W3CDTF">2021-12-10T06:23:41Z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5D3EE270E9D949C5826A8EEFA4A11C74</vt:lpwstr>
  </property>
</Properties>
</file>